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4A43" w14:textId="52EBCA4A" w:rsidR="009008CF" w:rsidRPr="0041740A" w:rsidRDefault="00FE1F0F" w:rsidP="004B0C46">
      <w:pPr>
        <w:pStyle w:val="Heading2"/>
      </w:pPr>
      <w:bookmarkStart w:id="0" w:name="_bookmark33"/>
      <w:bookmarkStart w:id="1" w:name="_Toc125539109"/>
      <w:bookmarkEnd w:id="0"/>
      <w:r w:rsidRPr="0041740A">
        <w:t>Appendix</w:t>
      </w:r>
      <w:r w:rsidRPr="0041740A">
        <w:rPr>
          <w:spacing w:val="3"/>
        </w:rPr>
        <w:t xml:space="preserve"> </w:t>
      </w:r>
      <w:r w:rsidRPr="0041740A">
        <w:rPr>
          <w:spacing w:val="-10"/>
        </w:rPr>
        <w:t>A</w:t>
      </w:r>
      <w:bookmarkEnd w:id="1"/>
    </w:p>
    <w:p w14:paraId="3425F469" w14:textId="77777777" w:rsidR="009008CF" w:rsidRPr="0041740A" w:rsidRDefault="00FE1F0F" w:rsidP="004B0C46">
      <w:pPr>
        <w:pStyle w:val="Heading3"/>
      </w:pPr>
      <w:bookmarkStart w:id="2" w:name="_Toc125539110"/>
      <w:r w:rsidRPr="004B0C46">
        <w:t>References</w:t>
      </w:r>
      <w:r w:rsidRPr="0041740A">
        <w:rPr>
          <w:spacing w:val="-4"/>
        </w:rPr>
        <w:t xml:space="preserve"> </w:t>
      </w:r>
      <w:r w:rsidRPr="0041740A">
        <w:t>from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3"/>
        </w:rPr>
        <w:t xml:space="preserve"> </w:t>
      </w:r>
      <w:r w:rsidRPr="0041740A">
        <w:rPr>
          <w:spacing w:val="-5"/>
        </w:rPr>
        <w:t>Act</w:t>
      </w:r>
      <w:bookmarkEnd w:id="2"/>
    </w:p>
    <w:p w14:paraId="34D45388" w14:textId="77777777" w:rsidR="009008CF" w:rsidRPr="0041740A" w:rsidRDefault="00FE1F0F" w:rsidP="004B0C46">
      <w:r w:rsidRPr="0041740A">
        <w:t>Terms</w:t>
      </w:r>
      <w:r w:rsidRPr="0041740A">
        <w:rPr>
          <w:spacing w:val="-4"/>
        </w:rPr>
        <w:t xml:space="preserve"> </w:t>
      </w:r>
      <w:r w:rsidRPr="0041740A">
        <w:t>with</w:t>
      </w:r>
      <w:r w:rsidRPr="0041740A">
        <w:rPr>
          <w:spacing w:val="-2"/>
        </w:rPr>
        <w:t xml:space="preserve"> </w:t>
      </w:r>
      <w:r w:rsidRPr="0041740A">
        <w:t>specific</w:t>
      </w:r>
      <w:r w:rsidRPr="0041740A">
        <w:rPr>
          <w:spacing w:val="-2"/>
        </w:rPr>
        <w:t xml:space="preserve"> </w:t>
      </w:r>
      <w:r w:rsidRPr="0041740A">
        <w:t>meaning</w:t>
      </w:r>
      <w:r w:rsidRPr="0041740A">
        <w:rPr>
          <w:spacing w:val="-2"/>
        </w:rPr>
        <w:t xml:space="preserve"> </w:t>
      </w:r>
      <w:r w:rsidRPr="0041740A">
        <w:t>under</w:t>
      </w:r>
      <w:r w:rsidRPr="0041740A">
        <w:rPr>
          <w:spacing w:val="-2"/>
        </w:rPr>
        <w:t xml:space="preserve"> </w:t>
      </w:r>
      <w:r w:rsidRPr="0041740A">
        <w:t>the</w:t>
      </w:r>
      <w:r w:rsidRPr="0041740A">
        <w:rPr>
          <w:spacing w:val="-2"/>
        </w:rPr>
        <w:t xml:space="preserve"> </w:t>
      </w:r>
      <w:r w:rsidRPr="0041740A">
        <w:rPr>
          <w:spacing w:val="-5"/>
        </w:rPr>
        <w:t>Act</w:t>
      </w:r>
    </w:p>
    <w:p w14:paraId="5095579B" w14:textId="77777777" w:rsidR="009008CF" w:rsidRPr="004B0C46" w:rsidRDefault="00FE1F0F" w:rsidP="004B0C46">
      <w:r w:rsidRPr="004B0C46">
        <w:t>The Act uses several key terms which have specific meaning under the Act. The terms are:</w:t>
      </w:r>
    </w:p>
    <w:p w14:paraId="0C4EAEED" w14:textId="77777777" w:rsidR="009008CF" w:rsidRPr="0041740A" w:rsidRDefault="00FE1F0F" w:rsidP="007F63AE">
      <w:pPr>
        <w:pStyle w:val="ListParagraph"/>
        <w:numPr>
          <w:ilvl w:val="0"/>
          <w:numId w:val="1"/>
        </w:numPr>
        <w:ind w:left="284"/>
      </w:pPr>
      <w:proofErr w:type="spellStart"/>
      <w:r w:rsidRPr="0041740A">
        <w:rPr>
          <w:b/>
        </w:rPr>
        <w:t>Ailan</w:t>
      </w:r>
      <w:proofErr w:type="spellEnd"/>
      <w:r w:rsidRPr="0041740A">
        <w:rPr>
          <w:b/>
          <w:spacing w:val="-4"/>
        </w:rPr>
        <w:t xml:space="preserve"> </w:t>
      </w:r>
      <w:proofErr w:type="spellStart"/>
      <w:r w:rsidRPr="0041740A">
        <w:rPr>
          <w:b/>
        </w:rPr>
        <w:t>Kastom</w:t>
      </w:r>
      <w:proofErr w:type="spellEnd"/>
      <w:r w:rsidRPr="0041740A">
        <w:rPr>
          <w:b/>
          <w:spacing w:val="-4"/>
        </w:rPr>
        <w:t xml:space="preserve"> </w:t>
      </w:r>
      <w:r w:rsidRPr="0041740A">
        <w:rPr>
          <w:b/>
        </w:rPr>
        <w:t>child</w:t>
      </w:r>
      <w:r w:rsidRPr="0041740A">
        <w:rPr>
          <w:b/>
          <w:spacing w:val="-4"/>
        </w:rPr>
        <w:t xml:space="preserve"> </w:t>
      </w:r>
      <w:r w:rsidRPr="0041740A">
        <w:rPr>
          <w:b/>
        </w:rPr>
        <w:t>rearing</w:t>
      </w:r>
      <w:r w:rsidRPr="0041740A">
        <w:rPr>
          <w:b/>
          <w:spacing w:val="-4"/>
        </w:rPr>
        <w:t xml:space="preserve"> </w:t>
      </w:r>
      <w:r w:rsidRPr="0041740A">
        <w:rPr>
          <w:b/>
        </w:rPr>
        <w:t xml:space="preserve">practice </w:t>
      </w:r>
      <w:r w:rsidRPr="0041740A">
        <w:t>is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4"/>
        </w:rPr>
        <w:t xml:space="preserve"> </w:t>
      </w:r>
      <w:r w:rsidRPr="0041740A">
        <w:t>practice</w:t>
      </w:r>
      <w:r w:rsidRPr="0041740A">
        <w:rPr>
          <w:spacing w:val="-4"/>
        </w:rPr>
        <w:t xml:space="preserve"> </w:t>
      </w:r>
      <w:r w:rsidRPr="0041740A">
        <w:t>recognised</w:t>
      </w:r>
      <w:r w:rsidRPr="0041740A">
        <w:rPr>
          <w:spacing w:val="-4"/>
        </w:rPr>
        <w:t xml:space="preserve"> </w:t>
      </w:r>
      <w:r w:rsidRPr="0041740A">
        <w:t>by</w:t>
      </w:r>
      <w:r w:rsidRPr="0041740A">
        <w:rPr>
          <w:spacing w:val="-4"/>
        </w:rPr>
        <w:t xml:space="preserve"> </w:t>
      </w:r>
      <w:proofErr w:type="spellStart"/>
      <w:r w:rsidRPr="0041740A">
        <w:t>Ailan</w:t>
      </w:r>
      <w:proofErr w:type="spellEnd"/>
      <w:r w:rsidRPr="0041740A">
        <w:rPr>
          <w:spacing w:val="-4"/>
        </w:rPr>
        <w:t xml:space="preserve"> </w:t>
      </w:r>
      <w:proofErr w:type="spellStart"/>
      <w:r w:rsidRPr="0041740A">
        <w:t>Kastom</w:t>
      </w:r>
      <w:proofErr w:type="spellEnd"/>
      <w:r w:rsidRPr="0041740A">
        <w:rPr>
          <w:spacing w:val="-4"/>
        </w:rPr>
        <w:t xml:space="preserve"> </w:t>
      </w:r>
      <w:r w:rsidRPr="0041740A">
        <w:t>under</w:t>
      </w:r>
      <w:r w:rsidRPr="0041740A">
        <w:rPr>
          <w:spacing w:val="-4"/>
        </w:rPr>
        <w:t xml:space="preserve"> </w:t>
      </w:r>
      <w:r w:rsidRPr="0041740A">
        <w:t>which</w:t>
      </w:r>
      <w:r w:rsidRPr="0041740A">
        <w:rPr>
          <w:spacing w:val="-4"/>
        </w:rPr>
        <w:t xml:space="preserve"> </w:t>
      </w:r>
      <w:r w:rsidRPr="0041740A">
        <w:t>a</w:t>
      </w:r>
      <w:r w:rsidRPr="0041740A">
        <w:rPr>
          <w:spacing w:val="-4"/>
        </w:rPr>
        <w:t xml:space="preserve"> </w:t>
      </w:r>
      <w:r w:rsidRPr="0041740A">
        <w:t>child’s</w:t>
      </w:r>
      <w:r w:rsidRPr="0041740A">
        <w:rPr>
          <w:spacing w:val="-4"/>
        </w:rPr>
        <w:t xml:space="preserve"> </w:t>
      </w:r>
      <w:r w:rsidRPr="0041740A">
        <w:t>birth</w:t>
      </w:r>
      <w:r w:rsidRPr="0041740A">
        <w:rPr>
          <w:spacing w:val="-4"/>
        </w:rPr>
        <w:t xml:space="preserve"> </w:t>
      </w:r>
      <w:r w:rsidRPr="0041740A">
        <w:t xml:space="preserve">parents and the child’s cultural parents agree in accordance with </w:t>
      </w:r>
      <w:proofErr w:type="spellStart"/>
      <w:r w:rsidRPr="0041740A">
        <w:t>Ailan</w:t>
      </w:r>
      <w:proofErr w:type="spellEnd"/>
      <w:r w:rsidRPr="0041740A">
        <w:t xml:space="preserve"> </w:t>
      </w:r>
      <w:proofErr w:type="spellStart"/>
      <w:r w:rsidRPr="0041740A">
        <w:t>Kastom</w:t>
      </w:r>
      <w:proofErr w:type="spellEnd"/>
      <w:r w:rsidRPr="0041740A">
        <w:t xml:space="preserve"> that the parental rights and responsibility for the child are permanently transferred from the birth parents to the cultural parents.</w:t>
      </w:r>
    </w:p>
    <w:p w14:paraId="419976DD" w14:textId="77777777" w:rsidR="009008CF" w:rsidRPr="0041740A" w:rsidRDefault="00FE1F0F" w:rsidP="007F63AE">
      <w:pPr>
        <w:pStyle w:val="ListParagraph"/>
        <w:numPr>
          <w:ilvl w:val="0"/>
          <w:numId w:val="1"/>
        </w:numPr>
        <w:ind w:left="284"/>
      </w:pPr>
      <w:r w:rsidRPr="0041740A">
        <w:t>Birth</w:t>
      </w:r>
      <w:r w:rsidRPr="0041740A">
        <w:rPr>
          <w:spacing w:val="-3"/>
        </w:rPr>
        <w:t xml:space="preserve"> </w:t>
      </w:r>
      <w:r w:rsidRPr="0041740A">
        <w:t>parent</w:t>
      </w:r>
      <w:r w:rsidRPr="0041740A">
        <w:rPr>
          <w:spacing w:val="-1"/>
        </w:rPr>
        <w:t xml:space="preserve"> </w:t>
      </w:r>
      <w:r w:rsidRPr="0041740A">
        <w:t>is a</w:t>
      </w:r>
      <w:r w:rsidRPr="0041740A">
        <w:rPr>
          <w:spacing w:val="-1"/>
        </w:rPr>
        <w:t xml:space="preserve"> </w:t>
      </w:r>
      <w:r w:rsidRPr="0041740A">
        <w:t>person who</w:t>
      </w:r>
      <w:r w:rsidRPr="0041740A">
        <w:rPr>
          <w:spacing w:val="-1"/>
        </w:rPr>
        <w:t xml:space="preserve"> </w:t>
      </w:r>
      <w:r w:rsidRPr="0041740A">
        <w:t>is recognised</w:t>
      </w:r>
      <w:r w:rsidRPr="0041740A">
        <w:rPr>
          <w:spacing w:val="-1"/>
        </w:rPr>
        <w:t xml:space="preserve"> </w:t>
      </w:r>
      <w:r w:rsidRPr="0041740A">
        <w:t>at law</w:t>
      </w:r>
      <w:r w:rsidRPr="0041740A">
        <w:rPr>
          <w:spacing w:val="-1"/>
        </w:rPr>
        <w:t xml:space="preserve"> </w:t>
      </w:r>
      <w:r w:rsidRPr="0041740A">
        <w:t>as being</w:t>
      </w:r>
      <w:r w:rsidRPr="0041740A">
        <w:rPr>
          <w:spacing w:val="-1"/>
        </w:rPr>
        <w:t xml:space="preserve"> </w:t>
      </w:r>
      <w:r w:rsidRPr="0041740A">
        <w:t>a parent</w:t>
      </w:r>
      <w:r w:rsidRPr="0041740A">
        <w:rPr>
          <w:spacing w:val="-1"/>
        </w:rPr>
        <w:t xml:space="preserve"> </w:t>
      </w:r>
      <w:r w:rsidRPr="0041740A">
        <w:t>of the</w:t>
      </w:r>
      <w:r w:rsidRPr="0041740A">
        <w:rPr>
          <w:spacing w:val="-1"/>
        </w:rPr>
        <w:t xml:space="preserve"> </w:t>
      </w:r>
      <w:r w:rsidRPr="0041740A">
        <w:t>child at</w:t>
      </w:r>
      <w:r w:rsidRPr="0041740A">
        <w:rPr>
          <w:spacing w:val="-1"/>
        </w:rPr>
        <w:t xml:space="preserve"> </w:t>
      </w:r>
      <w:r w:rsidRPr="0041740A">
        <w:t>the time</w:t>
      </w:r>
      <w:r w:rsidRPr="0041740A">
        <w:rPr>
          <w:spacing w:val="-1"/>
        </w:rPr>
        <w:t xml:space="preserve"> </w:t>
      </w:r>
      <w:r w:rsidRPr="0041740A">
        <w:t>the child</w:t>
      </w:r>
      <w:r w:rsidRPr="0041740A">
        <w:rPr>
          <w:spacing w:val="-1"/>
        </w:rPr>
        <w:t xml:space="preserve"> </w:t>
      </w:r>
      <w:r w:rsidRPr="0041740A">
        <w:t xml:space="preserve">is </w:t>
      </w:r>
      <w:r w:rsidRPr="0041740A">
        <w:rPr>
          <w:spacing w:val="-2"/>
        </w:rPr>
        <w:t>born.</w:t>
      </w:r>
    </w:p>
    <w:p w14:paraId="3771E20A" w14:textId="77777777" w:rsidR="009008CF" w:rsidRPr="0041740A" w:rsidRDefault="00FE1F0F" w:rsidP="007F63AE">
      <w:pPr>
        <w:pStyle w:val="ListParagraph"/>
        <w:numPr>
          <w:ilvl w:val="0"/>
          <w:numId w:val="1"/>
        </w:numPr>
        <w:ind w:left="284"/>
      </w:pPr>
      <w:r w:rsidRPr="0041740A">
        <w:t xml:space="preserve">Cultural parent is a person who, in accordance with </w:t>
      </w:r>
      <w:proofErr w:type="spellStart"/>
      <w:r w:rsidRPr="0041740A">
        <w:t>Ailan</w:t>
      </w:r>
      <w:proofErr w:type="spellEnd"/>
      <w:r w:rsidRPr="0041740A">
        <w:t xml:space="preserve"> </w:t>
      </w:r>
      <w:proofErr w:type="spellStart"/>
      <w:r w:rsidRPr="0041740A">
        <w:t>Kastom</w:t>
      </w:r>
      <w:proofErr w:type="spellEnd"/>
      <w:r w:rsidRPr="0041740A">
        <w:t xml:space="preserve"> child rearing practice, agrees to accept the permanent</w:t>
      </w:r>
      <w:r w:rsidRPr="0041740A">
        <w:rPr>
          <w:spacing w:val="-4"/>
        </w:rPr>
        <w:t xml:space="preserve"> </w:t>
      </w:r>
      <w:r w:rsidRPr="0041740A">
        <w:t>transfer</w:t>
      </w:r>
      <w:r w:rsidRPr="0041740A">
        <w:rPr>
          <w:spacing w:val="-4"/>
        </w:rPr>
        <w:t xml:space="preserve"> </w:t>
      </w:r>
      <w:r w:rsidRPr="0041740A">
        <w:t>of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4"/>
        </w:rPr>
        <w:t xml:space="preserve"> </w:t>
      </w:r>
      <w:r w:rsidRPr="0041740A">
        <w:t>parental</w:t>
      </w:r>
      <w:r w:rsidRPr="0041740A">
        <w:rPr>
          <w:spacing w:val="-4"/>
        </w:rPr>
        <w:t xml:space="preserve"> </w:t>
      </w:r>
      <w:r w:rsidRPr="0041740A">
        <w:t>rights</w:t>
      </w:r>
      <w:r w:rsidRPr="0041740A">
        <w:rPr>
          <w:spacing w:val="-4"/>
        </w:rPr>
        <w:t xml:space="preserve"> </w:t>
      </w:r>
      <w:r w:rsidRPr="0041740A">
        <w:t>and</w:t>
      </w:r>
      <w:r w:rsidRPr="0041740A">
        <w:rPr>
          <w:spacing w:val="-4"/>
        </w:rPr>
        <w:t xml:space="preserve"> </w:t>
      </w:r>
      <w:r w:rsidRPr="0041740A">
        <w:t>responsibility</w:t>
      </w:r>
      <w:r w:rsidRPr="0041740A">
        <w:rPr>
          <w:spacing w:val="-4"/>
        </w:rPr>
        <w:t xml:space="preserve"> </w:t>
      </w:r>
      <w:r w:rsidRPr="0041740A">
        <w:t>for</w:t>
      </w:r>
      <w:r w:rsidRPr="0041740A">
        <w:rPr>
          <w:spacing w:val="-4"/>
        </w:rPr>
        <w:t xml:space="preserve"> </w:t>
      </w:r>
      <w:r w:rsidRPr="0041740A">
        <w:t>a</w:t>
      </w:r>
      <w:r w:rsidRPr="0041740A">
        <w:rPr>
          <w:spacing w:val="-4"/>
        </w:rPr>
        <w:t xml:space="preserve"> </w:t>
      </w:r>
      <w:r w:rsidRPr="0041740A">
        <w:t>child</w:t>
      </w:r>
      <w:r w:rsidRPr="0041740A">
        <w:rPr>
          <w:spacing w:val="-4"/>
        </w:rPr>
        <w:t xml:space="preserve"> </w:t>
      </w:r>
      <w:r w:rsidRPr="0041740A">
        <w:t>from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4"/>
        </w:rPr>
        <w:t xml:space="preserve"> </w:t>
      </w:r>
      <w:r w:rsidRPr="0041740A">
        <w:t>child’s</w:t>
      </w:r>
      <w:r w:rsidRPr="0041740A">
        <w:rPr>
          <w:spacing w:val="-4"/>
        </w:rPr>
        <w:t xml:space="preserve"> </w:t>
      </w:r>
      <w:r w:rsidRPr="0041740A">
        <w:t>birth</w:t>
      </w:r>
      <w:r w:rsidRPr="0041740A">
        <w:rPr>
          <w:spacing w:val="-4"/>
        </w:rPr>
        <w:t xml:space="preserve"> </w:t>
      </w:r>
      <w:r w:rsidRPr="0041740A">
        <w:t>parents</w:t>
      </w:r>
      <w:r w:rsidRPr="0041740A">
        <w:rPr>
          <w:spacing w:val="-4"/>
        </w:rPr>
        <w:t xml:space="preserve"> </w:t>
      </w:r>
      <w:r w:rsidRPr="0041740A">
        <w:t>to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4"/>
        </w:rPr>
        <w:t xml:space="preserve"> </w:t>
      </w:r>
      <w:r w:rsidRPr="0041740A">
        <w:t>person.</w:t>
      </w:r>
    </w:p>
    <w:p w14:paraId="26F966BC" w14:textId="77777777" w:rsidR="009008CF" w:rsidRPr="0041740A" w:rsidRDefault="00FE1F0F" w:rsidP="007F63AE">
      <w:pPr>
        <w:pStyle w:val="ListParagraph"/>
        <w:numPr>
          <w:ilvl w:val="0"/>
          <w:numId w:val="1"/>
        </w:numPr>
        <w:ind w:left="284"/>
      </w:pPr>
      <w:r w:rsidRPr="0041740A">
        <w:t xml:space="preserve">Informed person is a person who has knowledge and understanding of the specific </w:t>
      </w:r>
      <w:proofErr w:type="spellStart"/>
      <w:r w:rsidRPr="0041740A">
        <w:t>Ailan</w:t>
      </w:r>
      <w:proofErr w:type="spellEnd"/>
      <w:r w:rsidRPr="0041740A">
        <w:t xml:space="preserve"> </w:t>
      </w:r>
      <w:proofErr w:type="spellStart"/>
      <w:r w:rsidRPr="0041740A">
        <w:t>Kastom</w:t>
      </w:r>
      <w:proofErr w:type="spellEnd"/>
      <w:r w:rsidRPr="0041740A">
        <w:t xml:space="preserve"> child rearing practice</w:t>
      </w:r>
      <w:r w:rsidRPr="0041740A">
        <w:rPr>
          <w:spacing w:val="-4"/>
        </w:rPr>
        <w:t xml:space="preserve"> </w:t>
      </w:r>
      <w:r w:rsidRPr="0041740A">
        <w:t>that</w:t>
      </w:r>
      <w:r w:rsidRPr="0041740A">
        <w:rPr>
          <w:spacing w:val="-4"/>
        </w:rPr>
        <w:t xml:space="preserve"> </w:t>
      </w:r>
      <w:r w:rsidRPr="0041740A">
        <w:t>occurred</w:t>
      </w:r>
      <w:r w:rsidRPr="0041740A">
        <w:rPr>
          <w:spacing w:val="-4"/>
        </w:rPr>
        <w:t xml:space="preserve"> </w:t>
      </w:r>
      <w:r w:rsidRPr="0041740A">
        <w:t>in</w:t>
      </w:r>
      <w:r w:rsidRPr="0041740A">
        <w:rPr>
          <w:spacing w:val="-4"/>
        </w:rPr>
        <w:t xml:space="preserve"> </w:t>
      </w:r>
      <w:r w:rsidRPr="0041740A">
        <w:t>relation</w:t>
      </w:r>
      <w:r w:rsidRPr="0041740A">
        <w:rPr>
          <w:spacing w:val="-4"/>
        </w:rPr>
        <w:t xml:space="preserve"> </w:t>
      </w:r>
      <w:r w:rsidRPr="0041740A">
        <w:t>to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4"/>
        </w:rPr>
        <w:t xml:space="preserve"> </w:t>
      </w:r>
      <w:r w:rsidRPr="0041740A">
        <w:t>application</w:t>
      </w:r>
      <w:r w:rsidRPr="0041740A">
        <w:rPr>
          <w:spacing w:val="-4"/>
        </w:rPr>
        <w:t xml:space="preserve"> </w:t>
      </w:r>
      <w:r w:rsidRPr="0041740A">
        <w:t>and</w:t>
      </w:r>
      <w:r w:rsidRPr="0041740A">
        <w:rPr>
          <w:spacing w:val="-4"/>
        </w:rPr>
        <w:t xml:space="preserve"> </w:t>
      </w:r>
      <w:r w:rsidRPr="0041740A">
        <w:t>can</w:t>
      </w:r>
      <w:r w:rsidRPr="0041740A">
        <w:rPr>
          <w:spacing w:val="-4"/>
        </w:rPr>
        <w:t xml:space="preserve"> </w:t>
      </w:r>
      <w:r w:rsidRPr="0041740A">
        <w:t>verify</w:t>
      </w:r>
      <w:r w:rsidRPr="0041740A">
        <w:rPr>
          <w:spacing w:val="-4"/>
        </w:rPr>
        <w:t xml:space="preserve"> </w:t>
      </w:r>
      <w:r w:rsidRPr="0041740A">
        <w:t>that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4"/>
        </w:rPr>
        <w:t xml:space="preserve"> </w:t>
      </w:r>
      <w:r w:rsidRPr="0041740A">
        <w:t>transfer</w:t>
      </w:r>
      <w:r w:rsidRPr="0041740A">
        <w:rPr>
          <w:spacing w:val="-4"/>
        </w:rPr>
        <w:t xml:space="preserve"> </w:t>
      </w:r>
      <w:r w:rsidRPr="0041740A">
        <w:t>of</w:t>
      </w:r>
      <w:r w:rsidRPr="0041740A">
        <w:rPr>
          <w:spacing w:val="-4"/>
        </w:rPr>
        <w:t xml:space="preserve"> </w:t>
      </w:r>
      <w:r w:rsidRPr="0041740A">
        <w:t>parentage</w:t>
      </w:r>
      <w:r w:rsidRPr="0041740A">
        <w:rPr>
          <w:spacing w:val="-4"/>
        </w:rPr>
        <w:t xml:space="preserve"> </w:t>
      </w:r>
      <w:r w:rsidRPr="0041740A">
        <w:t>in</w:t>
      </w:r>
      <w:r w:rsidRPr="0041740A">
        <w:rPr>
          <w:spacing w:val="-4"/>
        </w:rPr>
        <w:t xml:space="preserve"> </w:t>
      </w:r>
      <w:r w:rsidRPr="0041740A">
        <w:t>relation</w:t>
      </w:r>
      <w:r w:rsidRPr="0041740A">
        <w:rPr>
          <w:spacing w:val="-4"/>
        </w:rPr>
        <w:t xml:space="preserve"> </w:t>
      </w:r>
      <w:r w:rsidRPr="0041740A">
        <w:t>to</w:t>
      </w:r>
      <w:r w:rsidRPr="0041740A">
        <w:rPr>
          <w:spacing w:val="-4"/>
        </w:rPr>
        <w:t xml:space="preserve"> </w:t>
      </w:r>
      <w:r w:rsidRPr="0041740A">
        <w:t xml:space="preserve">the subject child occurred in accordance with </w:t>
      </w:r>
      <w:proofErr w:type="spellStart"/>
      <w:r w:rsidRPr="0041740A">
        <w:t>Ailan</w:t>
      </w:r>
      <w:proofErr w:type="spellEnd"/>
      <w:r w:rsidRPr="0041740A">
        <w:t xml:space="preserve"> </w:t>
      </w:r>
      <w:proofErr w:type="spellStart"/>
      <w:r w:rsidRPr="0041740A">
        <w:t>Kastom</w:t>
      </w:r>
      <w:proofErr w:type="spellEnd"/>
      <w:r w:rsidRPr="0041740A">
        <w:t>. This could be a family member such as a grandparent.</w:t>
      </w:r>
    </w:p>
    <w:p w14:paraId="48E7109D" w14:textId="77777777" w:rsidR="009008CF" w:rsidRPr="0041740A" w:rsidRDefault="00FE1F0F" w:rsidP="007F63AE">
      <w:pPr>
        <w:pStyle w:val="ListParagraph"/>
        <w:numPr>
          <w:ilvl w:val="0"/>
          <w:numId w:val="1"/>
        </w:numPr>
        <w:ind w:left="284"/>
      </w:pPr>
      <w:r w:rsidRPr="0041740A">
        <w:rPr>
          <w:b/>
        </w:rPr>
        <w:t>Customary</w:t>
      </w:r>
      <w:r w:rsidRPr="0041740A">
        <w:rPr>
          <w:b/>
          <w:spacing w:val="-4"/>
        </w:rPr>
        <w:t xml:space="preserve"> </w:t>
      </w:r>
      <w:r w:rsidRPr="0041740A">
        <w:rPr>
          <w:b/>
        </w:rPr>
        <w:t xml:space="preserve">Adoption </w:t>
      </w:r>
      <w:r w:rsidRPr="0041740A">
        <w:t>has</w:t>
      </w:r>
      <w:r w:rsidRPr="0041740A">
        <w:rPr>
          <w:spacing w:val="-3"/>
        </w:rPr>
        <w:t xml:space="preserve"> </w:t>
      </w:r>
      <w:r w:rsidRPr="0041740A">
        <w:t>been</w:t>
      </w:r>
      <w:r w:rsidRPr="0041740A">
        <w:rPr>
          <w:spacing w:val="-3"/>
        </w:rPr>
        <w:t xml:space="preserve"> </w:t>
      </w:r>
      <w:r w:rsidRPr="0041740A">
        <w:t>used</w:t>
      </w:r>
      <w:r w:rsidRPr="0041740A">
        <w:rPr>
          <w:spacing w:val="-3"/>
        </w:rPr>
        <w:t xml:space="preserve"> </w:t>
      </w:r>
      <w:r w:rsidRPr="0041740A">
        <w:t>as</w:t>
      </w:r>
      <w:r w:rsidRPr="0041740A">
        <w:rPr>
          <w:spacing w:val="-3"/>
        </w:rPr>
        <w:t xml:space="preserve"> </w:t>
      </w:r>
      <w:r w:rsidRPr="0041740A">
        <w:t>an</w:t>
      </w:r>
      <w:r w:rsidRPr="0041740A">
        <w:rPr>
          <w:spacing w:val="-3"/>
        </w:rPr>
        <w:t xml:space="preserve"> </w:t>
      </w:r>
      <w:r w:rsidRPr="0041740A">
        <w:t>explanation</w:t>
      </w:r>
      <w:r w:rsidRPr="0041740A">
        <w:rPr>
          <w:spacing w:val="-3"/>
        </w:rPr>
        <w:t xml:space="preserve"> </w:t>
      </w:r>
      <w:r w:rsidRPr="0041740A">
        <w:t>to</w:t>
      </w:r>
      <w:r w:rsidRPr="0041740A">
        <w:rPr>
          <w:spacing w:val="-3"/>
        </w:rPr>
        <w:t xml:space="preserve"> </w:t>
      </w:r>
      <w:r w:rsidRPr="0041740A">
        <w:t>describe</w:t>
      </w:r>
      <w:r w:rsidRPr="0041740A">
        <w:rPr>
          <w:spacing w:val="-3"/>
        </w:rPr>
        <w:t xml:space="preserve"> </w:t>
      </w:r>
      <w:r w:rsidRPr="0041740A">
        <w:t>the</w:t>
      </w:r>
      <w:r w:rsidRPr="0041740A">
        <w:rPr>
          <w:spacing w:val="-3"/>
        </w:rPr>
        <w:t xml:space="preserve"> </w:t>
      </w:r>
      <w:r w:rsidRPr="0041740A">
        <w:t>practice</w:t>
      </w:r>
      <w:r w:rsidRPr="0041740A">
        <w:rPr>
          <w:spacing w:val="-3"/>
        </w:rPr>
        <w:t xml:space="preserve"> </w:t>
      </w:r>
      <w:r w:rsidRPr="0041740A">
        <w:t>of</w:t>
      </w:r>
      <w:r w:rsidRPr="0041740A">
        <w:rPr>
          <w:spacing w:val="-3"/>
        </w:rPr>
        <w:t xml:space="preserve"> </w:t>
      </w:r>
      <w:r w:rsidRPr="0041740A">
        <w:t>permanently</w:t>
      </w:r>
      <w:r w:rsidRPr="0041740A">
        <w:rPr>
          <w:spacing w:val="-3"/>
        </w:rPr>
        <w:t xml:space="preserve"> </w:t>
      </w:r>
      <w:r w:rsidRPr="0041740A">
        <w:t>transferring</w:t>
      </w:r>
      <w:r w:rsidRPr="0041740A">
        <w:rPr>
          <w:spacing w:val="-3"/>
        </w:rPr>
        <w:t xml:space="preserve"> </w:t>
      </w:r>
      <w:r w:rsidRPr="0041740A">
        <w:t>a</w:t>
      </w:r>
      <w:r w:rsidRPr="0041740A">
        <w:rPr>
          <w:spacing w:val="-3"/>
        </w:rPr>
        <w:t xml:space="preserve"> </w:t>
      </w:r>
      <w:r w:rsidRPr="0041740A">
        <w:t xml:space="preserve">child from one extended family member to another. The term ‘customary adoption’ is not a term used in Torres Strait Islander culture, but initially used by Queensland Government as a term that could be understood within modern day terminology. The practice is now referred to as </w:t>
      </w:r>
      <w:proofErr w:type="spellStart"/>
      <w:r w:rsidRPr="0041740A">
        <w:t>Ailan</w:t>
      </w:r>
      <w:proofErr w:type="spellEnd"/>
      <w:r w:rsidRPr="0041740A">
        <w:t xml:space="preserve"> </w:t>
      </w:r>
      <w:proofErr w:type="spellStart"/>
      <w:r w:rsidRPr="0041740A">
        <w:t>Kastom</w:t>
      </w:r>
      <w:proofErr w:type="spellEnd"/>
      <w:r w:rsidRPr="0041740A">
        <w:t xml:space="preserve"> child rearing practice.</w:t>
      </w:r>
    </w:p>
    <w:p w14:paraId="63753A77" w14:textId="77777777" w:rsidR="009008CF" w:rsidRPr="0041740A" w:rsidRDefault="00FE1F0F" w:rsidP="007F63AE">
      <w:pPr>
        <w:pStyle w:val="ListParagraph"/>
        <w:numPr>
          <w:ilvl w:val="0"/>
          <w:numId w:val="1"/>
        </w:numPr>
        <w:ind w:left="284"/>
      </w:pPr>
      <w:r w:rsidRPr="0041740A">
        <w:rPr>
          <w:b/>
        </w:rPr>
        <w:t xml:space="preserve">Other Carer </w:t>
      </w:r>
      <w:r w:rsidRPr="0041740A">
        <w:t>is a person other than the child’s birth parent or cultural parent who has the right and responsibility to</w:t>
      </w:r>
      <w:r w:rsidRPr="0041740A">
        <w:rPr>
          <w:spacing w:val="-4"/>
        </w:rPr>
        <w:t xml:space="preserve"> </w:t>
      </w:r>
      <w:r w:rsidRPr="0041740A">
        <w:t>make</w:t>
      </w:r>
      <w:r w:rsidRPr="0041740A">
        <w:rPr>
          <w:spacing w:val="-4"/>
        </w:rPr>
        <w:t xml:space="preserve"> </w:t>
      </w:r>
      <w:r w:rsidRPr="0041740A">
        <w:t>decisions</w:t>
      </w:r>
      <w:r w:rsidRPr="0041740A">
        <w:rPr>
          <w:spacing w:val="-4"/>
        </w:rPr>
        <w:t xml:space="preserve"> </w:t>
      </w:r>
      <w:r w:rsidRPr="0041740A">
        <w:t>about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4"/>
        </w:rPr>
        <w:t xml:space="preserve"> </w:t>
      </w:r>
      <w:r w:rsidRPr="0041740A">
        <w:t>child’s</w:t>
      </w:r>
      <w:r w:rsidRPr="0041740A">
        <w:rPr>
          <w:spacing w:val="-4"/>
        </w:rPr>
        <w:t xml:space="preserve"> </w:t>
      </w:r>
      <w:r w:rsidRPr="0041740A">
        <w:t>daily</w:t>
      </w:r>
      <w:r w:rsidRPr="0041740A">
        <w:rPr>
          <w:spacing w:val="-4"/>
        </w:rPr>
        <w:t xml:space="preserve"> </w:t>
      </w:r>
      <w:r w:rsidRPr="0041740A">
        <w:t>care</w:t>
      </w:r>
      <w:r w:rsidRPr="0041740A">
        <w:rPr>
          <w:spacing w:val="-4"/>
        </w:rPr>
        <w:t xml:space="preserve"> </w:t>
      </w:r>
      <w:r w:rsidRPr="0041740A">
        <w:t>under</w:t>
      </w:r>
      <w:r w:rsidRPr="0041740A">
        <w:rPr>
          <w:spacing w:val="-4"/>
        </w:rPr>
        <w:t xml:space="preserve"> </w:t>
      </w:r>
      <w:r w:rsidRPr="0041740A">
        <w:t>legislation</w:t>
      </w:r>
      <w:r w:rsidRPr="0041740A">
        <w:rPr>
          <w:spacing w:val="-4"/>
        </w:rPr>
        <w:t xml:space="preserve"> </w:t>
      </w:r>
      <w:r w:rsidRPr="0041740A">
        <w:t>other</w:t>
      </w:r>
      <w:r w:rsidRPr="0041740A">
        <w:rPr>
          <w:spacing w:val="-4"/>
        </w:rPr>
        <w:t xml:space="preserve"> </w:t>
      </w:r>
      <w:r w:rsidRPr="0041740A">
        <w:t>than</w:t>
      </w:r>
      <w:r w:rsidRPr="0041740A">
        <w:rPr>
          <w:spacing w:val="-4"/>
        </w:rPr>
        <w:t xml:space="preserve"> </w:t>
      </w:r>
      <w:r w:rsidRPr="0041740A">
        <w:t>this</w:t>
      </w:r>
      <w:r w:rsidRPr="0041740A">
        <w:rPr>
          <w:spacing w:val="-4"/>
        </w:rPr>
        <w:t xml:space="preserve"> </w:t>
      </w:r>
      <w:r w:rsidRPr="0041740A">
        <w:t>Act</w:t>
      </w:r>
      <w:r w:rsidRPr="0041740A">
        <w:rPr>
          <w:spacing w:val="-4"/>
        </w:rPr>
        <w:t xml:space="preserve"> </w:t>
      </w:r>
      <w:r w:rsidRPr="0041740A">
        <w:t>or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4"/>
        </w:rPr>
        <w:t xml:space="preserve"> </w:t>
      </w:r>
      <w:r w:rsidRPr="0041740A">
        <w:t>Child</w:t>
      </w:r>
      <w:r w:rsidRPr="0041740A">
        <w:rPr>
          <w:spacing w:val="-4"/>
        </w:rPr>
        <w:t xml:space="preserve"> </w:t>
      </w:r>
      <w:r w:rsidRPr="0041740A">
        <w:t>Protection</w:t>
      </w:r>
      <w:r w:rsidRPr="0041740A">
        <w:rPr>
          <w:spacing w:val="-4"/>
        </w:rPr>
        <w:t xml:space="preserve"> </w:t>
      </w:r>
      <w:r w:rsidRPr="0041740A">
        <w:t>Act</w:t>
      </w:r>
      <w:r w:rsidRPr="0041740A">
        <w:rPr>
          <w:spacing w:val="-4"/>
        </w:rPr>
        <w:t xml:space="preserve"> </w:t>
      </w:r>
      <w:r w:rsidRPr="0041740A">
        <w:t>1999. An</w:t>
      </w:r>
      <w:r w:rsidRPr="0041740A">
        <w:rPr>
          <w:spacing w:val="-1"/>
        </w:rPr>
        <w:t xml:space="preserve"> </w:t>
      </w:r>
      <w:r w:rsidRPr="0041740A">
        <w:t>example</w:t>
      </w:r>
      <w:r w:rsidRPr="0041740A">
        <w:rPr>
          <w:spacing w:val="-1"/>
        </w:rPr>
        <w:t xml:space="preserve"> </w:t>
      </w:r>
      <w:r w:rsidRPr="0041740A">
        <w:t>of</w:t>
      </w:r>
      <w:r w:rsidRPr="0041740A">
        <w:rPr>
          <w:spacing w:val="-1"/>
        </w:rPr>
        <w:t xml:space="preserve"> </w:t>
      </w:r>
      <w:proofErr w:type="spellStart"/>
      <w:proofErr w:type="gramStart"/>
      <w:r w:rsidRPr="0041740A">
        <w:t>an</w:t>
      </w:r>
      <w:r w:rsidRPr="0041740A">
        <w:rPr>
          <w:spacing w:val="-1"/>
        </w:rPr>
        <w:t xml:space="preserve"> </w:t>
      </w:r>
      <w:r w:rsidRPr="0041740A">
        <w:t>other</w:t>
      </w:r>
      <w:proofErr w:type="spellEnd"/>
      <w:proofErr w:type="gramEnd"/>
      <w:r w:rsidRPr="0041740A">
        <w:rPr>
          <w:spacing w:val="-1"/>
        </w:rPr>
        <w:t xml:space="preserve"> </w:t>
      </w:r>
      <w:r w:rsidRPr="0041740A">
        <w:t>carer</w:t>
      </w:r>
      <w:r w:rsidRPr="0041740A">
        <w:rPr>
          <w:spacing w:val="-1"/>
        </w:rPr>
        <w:t xml:space="preserve"> </w:t>
      </w:r>
      <w:r w:rsidRPr="0041740A">
        <w:t>may</w:t>
      </w:r>
      <w:r w:rsidRPr="0041740A">
        <w:rPr>
          <w:spacing w:val="-1"/>
        </w:rPr>
        <w:t xml:space="preserve"> </w:t>
      </w:r>
      <w:r w:rsidRPr="0041740A">
        <w:t>be</w:t>
      </w:r>
      <w:r w:rsidRPr="0041740A">
        <w:rPr>
          <w:spacing w:val="-1"/>
        </w:rPr>
        <w:t xml:space="preserve"> </w:t>
      </w:r>
      <w:r w:rsidRPr="0041740A">
        <w:t>someone</w:t>
      </w:r>
      <w:r w:rsidRPr="0041740A">
        <w:rPr>
          <w:spacing w:val="-1"/>
        </w:rPr>
        <w:t xml:space="preserve"> </w:t>
      </w:r>
      <w:r w:rsidRPr="0041740A">
        <w:t>who</w:t>
      </w:r>
      <w:r w:rsidRPr="0041740A">
        <w:rPr>
          <w:spacing w:val="-1"/>
        </w:rPr>
        <w:t xml:space="preserve"> </w:t>
      </w:r>
      <w:r w:rsidRPr="0041740A">
        <w:t>is</w:t>
      </w:r>
      <w:r w:rsidRPr="0041740A">
        <w:rPr>
          <w:spacing w:val="-1"/>
        </w:rPr>
        <w:t xml:space="preserve"> </w:t>
      </w:r>
      <w:r w:rsidRPr="0041740A">
        <w:t>not</w:t>
      </w:r>
      <w:r w:rsidRPr="0041740A">
        <w:rPr>
          <w:spacing w:val="-1"/>
        </w:rPr>
        <w:t xml:space="preserve"> </w:t>
      </w:r>
      <w:r w:rsidRPr="0041740A">
        <w:t>a</w:t>
      </w:r>
      <w:r w:rsidRPr="0041740A">
        <w:rPr>
          <w:spacing w:val="-1"/>
        </w:rPr>
        <w:t xml:space="preserve"> </w:t>
      </w:r>
      <w:r w:rsidRPr="0041740A">
        <w:t>birth</w:t>
      </w:r>
      <w:r w:rsidRPr="0041740A">
        <w:rPr>
          <w:spacing w:val="-1"/>
        </w:rPr>
        <w:t xml:space="preserve"> </w:t>
      </w:r>
      <w:r w:rsidRPr="0041740A">
        <w:t>or</w:t>
      </w:r>
      <w:r w:rsidRPr="0041740A">
        <w:rPr>
          <w:spacing w:val="-1"/>
        </w:rPr>
        <w:t xml:space="preserve"> </w:t>
      </w:r>
      <w:r w:rsidRPr="0041740A">
        <w:t>cultural</w:t>
      </w:r>
      <w:r w:rsidRPr="0041740A">
        <w:rPr>
          <w:spacing w:val="-1"/>
        </w:rPr>
        <w:t xml:space="preserve"> </w:t>
      </w:r>
      <w:r w:rsidRPr="0041740A">
        <w:t>parent</w:t>
      </w:r>
      <w:r w:rsidRPr="0041740A">
        <w:rPr>
          <w:spacing w:val="-1"/>
        </w:rPr>
        <w:t xml:space="preserve"> </w:t>
      </w:r>
      <w:r w:rsidRPr="0041740A">
        <w:t>but</w:t>
      </w:r>
      <w:r w:rsidRPr="0041740A">
        <w:rPr>
          <w:spacing w:val="-1"/>
        </w:rPr>
        <w:t xml:space="preserve"> </w:t>
      </w:r>
      <w:r w:rsidRPr="0041740A">
        <w:t>has</w:t>
      </w:r>
      <w:r w:rsidRPr="0041740A">
        <w:rPr>
          <w:spacing w:val="-1"/>
        </w:rPr>
        <w:t xml:space="preserve"> </w:t>
      </w:r>
      <w:r w:rsidRPr="0041740A">
        <w:t>parental</w:t>
      </w:r>
      <w:r w:rsidRPr="0041740A">
        <w:rPr>
          <w:spacing w:val="-1"/>
        </w:rPr>
        <w:t xml:space="preserve"> </w:t>
      </w:r>
      <w:r w:rsidRPr="0041740A">
        <w:t>rights</w:t>
      </w:r>
      <w:r w:rsidRPr="0041740A">
        <w:rPr>
          <w:spacing w:val="-1"/>
        </w:rPr>
        <w:t xml:space="preserve"> </w:t>
      </w:r>
      <w:r w:rsidRPr="0041740A">
        <w:t>such</w:t>
      </w:r>
      <w:r w:rsidRPr="0041740A">
        <w:rPr>
          <w:spacing w:val="-1"/>
        </w:rPr>
        <w:t xml:space="preserve"> </w:t>
      </w:r>
      <w:r w:rsidRPr="0041740A">
        <w:t>as a</w:t>
      </w:r>
      <w:r w:rsidRPr="0041740A">
        <w:rPr>
          <w:spacing w:val="-1"/>
        </w:rPr>
        <w:t xml:space="preserve"> </w:t>
      </w:r>
      <w:r w:rsidRPr="0041740A">
        <w:t>grandparent</w:t>
      </w:r>
      <w:r w:rsidRPr="0041740A">
        <w:rPr>
          <w:spacing w:val="-1"/>
        </w:rPr>
        <w:t xml:space="preserve"> </w:t>
      </w:r>
      <w:r w:rsidRPr="0041740A">
        <w:t>of</w:t>
      </w:r>
      <w:r w:rsidRPr="0041740A">
        <w:rPr>
          <w:spacing w:val="-1"/>
        </w:rPr>
        <w:t xml:space="preserve"> </w:t>
      </w:r>
      <w:r w:rsidRPr="0041740A">
        <w:t>the</w:t>
      </w:r>
      <w:r w:rsidRPr="0041740A">
        <w:rPr>
          <w:spacing w:val="-1"/>
        </w:rPr>
        <w:t xml:space="preserve"> </w:t>
      </w:r>
      <w:r w:rsidRPr="0041740A">
        <w:t>subject</w:t>
      </w:r>
      <w:r w:rsidRPr="0041740A">
        <w:rPr>
          <w:spacing w:val="-1"/>
        </w:rPr>
        <w:t xml:space="preserve"> </w:t>
      </w:r>
      <w:r w:rsidRPr="0041740A">
        <w:t>child</w:t>
      </w:r>
      <w:r w:rsidRPr="0041740A">
        <w:rPr>
          <w:spacing w:val="-1"/>
        </w:rPr>
        <w:t xml:space="preserve"> </w:t>
      </w:r>
      <w:r w:rsidRPr="0041740A">
        <w:t>that</w:t>
      </w:r>
      <w:r w:rsidRPr="0041740A">
        <w:rPr>
          <w:spacing w:val="-1"/>
        </w:rPr>
        <w:t xml:space="preserve"> </w:t>
      </w:r>
      <w:r w:rsidRPr="0041740A">
        <w:t>may</w:t>
      </w:r>
      <w:r w:rsidRPr="0041740A">
        <w:rPr>
          <w:spacing w:val="-1"/>
        </w:rPr>
        <w:t xml:space="preserve"> </w:t>
      </w:r>
      <w:r w:rsidRPr="0041740A">
        <w:t>have</w:t>
      </w:r>
      <w:r w:rsidRPr="0041740A">
        <w:rPr>
          <w:spacing w:val="-1"/>
        </w:rPr>
        <w:t xml:space="preserve"> </w:t>
      </w:r>
      <w:r w:rsidRPr="0041740A">
        <w:t>family</w:t>
      </w:r>
      <w:r w:rsidRPr="0041740A">
        <w:rPr>
          <w:spacing w:val="-1"/>
        </w:rPr>
        <w:t xml:space="preserve"> </w:t>
      </w:r>
      <w:r w:rsidRPr="0041740A">
        <w:t>law</w:t>
      </w:r>
      <w:r w:rsidRPr="0041740A">
        <w:rPr>
          <w:spacing w:val="-1"/>
        </w:rPr>
        <w:t xml:space="preserve"> </w:t>
      </w:r>
      <w:r w:rsidRPr="0041740A">
        <w:t>orders</w:t>
      </w:r>
      <w:r w:rsidRPr="0041740A">
        <w:rPr>
          <w:spacing w:val="-1"/>
        </w:rPr>
        <w:t xml:space="preserve"> </w:t>
      </w:r>
      <w:r w:rsidRPr="0041740A">
        <w:t>providing</w:t>
      </w:r>
      <w:r w:rsidRPr="0041740A">
        <w:rPr>
          <w:spacing w:val="-1"/>
        </w:rPr>
        <w:t xml:space="preserve"> </w:t>
      </w:r>
      <w:r w:rsidRPr="0041740A">
        <w:t>for</w:t>
      </w:r>
      <w:r w:rsidRPr="0041740A">
        <w:rPr>
          <w:spacing w:val="-1"/>
        </w:rPr>
        <w:t xml:space="preserve"> </w:t>
      </w:r>
      <w:r w:rsidRPr="0041740A">
        <w:t>parental</w:t>
      </w:r>
      <w:r w:rsidRPr="0041740A">
        <w:rPr>
          <w:spacing w:val="-1"/>
        </w:rPr>
        <w:t xml:space="preserve"> </w:t>
      </w:r>
      <w:r w:rsidRPr="0041740A">
        <w:t>responsibility</w:t>
      </w:r>
      <w:r w:rsidRPr="0041740A">
        <w:rPr>
          <w:spacing w:val="-1"/>
        </w:rPr>
        <w:t xml:space="preserve"> </w:t>
      </w:r>
      <w:r w:rsidRPr="0041740A">
        <w:t>or</w:t>
      </w:r>
      <w:r w:rsidRPr="0041740A">
        <w:rPr>
          <w:spacing w:val="-1"/>
        </w:rPr>
        <w:t xml:space="preserve"> </w:t>
      </w:r>
      <w:r w:rsidRPr="0041740A">
        <w:t>contact. This is to ensure that person who holds those rights is also informed of and consents to the application.</w:t>
      </w:r>
    </w:p>
    <w:p w14:paraId="2350C27F" w14:textId="77777777" w:rsidR="009008CF" w:rsidRPr="0041740A" w:rsidRDefault="00FE1F0F" w:rsidP="007F63AE">
      <w:pPr>
        <w:pStyle w:val="ListParagraph"/>
        <w:numPr>
          <w:ilvl w:val="0"/>
          <w:numId w:val="1"/>
        </w:numPr>
        <w:ind w:left="284"/>
      </w:pPr>
      <w:r w:rsidRPr="0041740A">
        <w:rPr>
          <w:b/>
        </w:rPr>
        <w:t>Review</w:t>
      </w:r>
      <w:r w:rsidRPr="0041740A">
        <w:rPr>
          <w:b/>
          <w:spacing w:val="-4"/>
        </w:rPr>
        <w:t xml:space="preserve"> </w:t>
      </w:r>
      <w:r w:rsidRPr="0041740A">
        <w:rPr>
          <w:b/>
        </w:rPr>
        <w:t xml:space="preserve">Officer </w:t>
      </w:r>
      <w:r w:rsidRPr="0041740A">
        <w:t>is</w:t>
      </w:r>
      <w:r w:rsidRPr="0041740A">
        <w:rPr>
          <w:spacing w:val="-4"/>
        </w:rPr>
        <w:t xml:space="preserve"> </w:t>
      </w:r>
      <w:r w:rsidRPr="0041740A">
        <w:t>a</w:t>
      </w:r>
      <w:r w:rsidRPr="0041740A">
        <w:rPr>
          <w:spacing w:val="-4"/>
        </w:rPr>
        <w:t xml:space="preserve"> </w:t>
      </w:r>
      <w:r w:rsidRPr="0041740A">
        <w:t>person</w:t>
      </w:r>
      <w:r w:rsidRPr="0041740A">
        <w:rPr>
          <w:spacing w:val="-4"/>
        </w:rPr>
        <w:t xml:space="preserve"> </w:t>
      </w:r>
      <w:r w:rsidRPr="0041740A">
        <w:t>(other</w:t>
      </w:r>
      <w:r w:rsidRPr="0041740A">
        <w:rPr>
          <w:spacing w:val="-4"/>
        </w:rPr>
        <w:t xml:space="preserve"> </w:t>
      </w:r>
      <w:r w:rsidRPr="0041740A">
        <w:t>than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4"/>
        </w:rPr>
        <w:t xml:space="preserve"> </w:t>
      </w:r>
      <w:r w:rsidRPr="0041740A">
        <w:t>Commissioner)</w:t>
      </w:r>
      <w:r w:rsidRPr="0041740A">
        <w:rPr>
          <w:spacing w:val="-4"/>
        </w:rPr>
        <w:t xml:space="preserve"> </w:t>
      </w:r>
      <w:r w:rsidRPr="0041740A">
        <w:t>appointed</w:t>
      </w:r>
      <w:r w:rsidRPr="0041740A">
        <w:rPr>
          <w:spacing w:val="-4"/>
        </w:rPr>
        <w:t xml:space="preserve"> </w:t>
      </w:r>
      <w:r w:rsidRPr="0041740A">
        <w:t>by</w:t>
      </w:r>
      <w:r w:rsidRPr="0041740A">
        <w:rPr>
          <w:spacing w:val="-4"/>
        </w:rPr>
        <w:t xml:space="preserve"> </w:t>
      </w:r>
      <w:r w:rsidRPr="0041740A">
        <w:t>the</w:t>
      </w:r>
      <w:r w:rsidRPr="0041740A">
        <w:rPr>
          <w:spacing w:val="-4"/>
        </w:rPr>
        <w:t xml:space="preserve"> </w:t>
      </w:r>
      <w:r w:rsidRPr="0041740A">
        <w:t>Minister</w:t>
      </w:r>
      <w:r w:rsidRPr="0041740A">
        <w:rPr>
          <w:spacing w:val="-4"/>
        </w:rPr>
        <w:t xml:space="preserve"> </w:t>
      </w:r>
      <w:r w:rsidRPr="0041740A">
        <w:t>to</w:t>
      </w:r>
      <w:r w:rsidRPr="0041740A">
        <w:rPr>
          <w:spacing w:val="-4"/>
        </w:rPr>
        <w:t xml:space="preserve"> </w:t>
      </w:r>
      <w:r w:rsidRPr="0041740A">
        <w:t>review</w:t>
      </w:r>
      <w:r w:rsidRPr="0041740A">
        <w:rPr>
          <w:spacing w:val="-4"/>
        </w:rPr>
        <w:t xml:space="preserve"> </w:t>
      </w:r>
      <w:r w:rsidRPr="0041740A">
        <w:t>an</w:t>
      </w:r>
      <w:r w:rsidRPr="0041740A">
        <w:rPr>
          <w:spacing w:val="-4"/>
        </w:rPr>
        <w:t xml:space="preserve"> </w:t>
      </w:r>
      <w:r w:rsidRPr="0041740A">
        <w:t>application under s61 of the Act for a review of a decision decided by the Commissioner.</w:t>
      </w:r>
    </w:p>
    <w:p w14:paraId="6C423EC0" w14:textId="77777777" w:rsidR="009008CF" w:rsidRPr="0041740A" w:rsidRDefault="00FE1F0F" w:rsidP="007F63AE">
      <w:pPr>
        <w:pStyle w:val="ListParagraph"/>
        <w:numPr>
          <w:ilvl w:val="0"/>
          <w:numId w:val="1"/>
        </w:numPr>
        <w:ind w:left="284"/>
      </w:pPr>
      <w:r w:rsidRPr="0041740A">
        <w:rPr>
          <w:b/>
        </w:rPr>
        <w:t>Appointed</w:t>
      </w:r>
      <w:r w:rsidRPr="0041740A">
        <w:rPr>
          <w:b/>
          <w:spacing w:val="-3"/>
        </w:rPr>
        <w:t xml:space="preserve"> </w:t>
      </w:r>
      <w:r w:rsidRPr="0041740A">
        <w:rPr>
          <w:b/>
        </w:rPr>
        <w:t xml:space="preserve">Person </w:t>
      </w:r>
      <w:r w:rsidRPr="0041740A">
        <w:t>is</w:t>
      </w:r>
      <w:r w:rsidRPr="0041740A">
        <w:rPr>
          <w:spacing w:val="-3"/>
        </w:rPr>
        <w:t xml:space="preserve"> </w:t>
      </w:r>
      <w:r w:rsidRPr="0041740A">
        <w:t>a</w:t>
      </w:r>
      <w:r w:rsidRPr="0041740A">
        <w:rPr>
          <w:spacing w:val="-3"/>
        </w:rPr>
        <w:t xml:space="preserve"> </w:t>
      </w:r>
      <w:r w:rsidRPr="0041740A">
        <w:t>person</w:t>
      </w:r>
      <w:r w:rsidRPr="0041740A">
        <w:rPr>
          <w:spacing w:val="-3"/>
        </w:rPr>
        <w:t xml:space="preserve"> </w:t>
      </w:r>
      <w:r w:rsidRPr="0041740A">
        <w:t>(other</w:t>
      </w:r>
      <w:r w:rsidRPr="0041740A">
        <w:rPr>
          <w:spacing w:val="-3"/>
        </w:rPr>
        <w:t xml:space="preserve"> </w:t>
      </w:r>
      <w:r w:rsidRPr="0041740A">
        <w:t>than</w:t>
      </w:r>
      <w:r w:rsidRPr="0041740A">
        <w:rPr>
          <w:spacing w:val="-3"/>
        </w:rPr>
        <w:t xml:space="preserve"> </w:t>
      </w:r>
      <w:r w:rsidRPr="0041740A">
        <w:t>the</w:t>
      </w:r>
      <w:r w:rsidRPr="0041740A">
        <w:rPr>
          <w:spacing w:val="-3"/>
        </w:rPr>
        <w:t xml:space="preserve"> </w:t>
      </w:r>
      <w:r w:rsidRPr="0041740A">
        <w:t>Commissioner)</w:t>
      </w:r>
      <w:r w:rsidRPr="0041740A">
        <w:rPr>
          <w:spacing w:val="-3"/>
        </w:rPr>
        <w:t xml:space="preserve"> </w:t>
      </w:r>
      <w:r w:rsidRPr="0041740A">
        <w:t>appointed</w:t>
      </w:r>
      <w:r w:rsidRPr="0041740A">
        <w:rPr>
          <w:spacing w:val="-3"/>
        </w:rPr>
        <w:t xml:space="preserve"> </w:t>
      </w:r>
      <w:r w:rsidRPr="0041740A">
        <w:t>by</w:t>
      </w:r>
      <w:r w:rsidRPr="0041740A">
        <w:rPr>
          <w:spacing w:val="-3"/>
        </w:rPr>
        <w:t xml:space="preserve"> </w:t>
      </w:r>
      <w:r w:rsidRPr="0041740A">
        <w:t>the</w:t>
      </w:r>
      <w:r w:rsidRPr="0041740A">
        <w:rPr>
          <w:spacing w:val="-3"/>
        </w:rPr>
        <w:t xml:space="preserve"> </w:t>
      </w:r>
      <w:r w:rsidRPr="0041740A">
        <w:t>Minister</w:t>
      </w:r>
      <w:r w:rsidRPr="0041740A">
        <w:rPr>
          <w:spacing w:val="-3"/>
        </w:rPr>
        <w:t xml:space="preserve"> </w:t>
      </w:r>
      <w:r w:rsidRPr="0041740A">
        <w:t>to</w:t>
      </w:r>
      <w:r w:rsidRPr="0041740A">
        <w:rPr>
          <w:spacing w:val="-3"/>
        </w:rPr>
        <w:t xml:space="preserve"> </w:t>
      </w:r>
      <w:r w:rsidRPr="0041740A">
        <w:t>consider</w:t>
      </w:r>
      <w:r w:rsidRPr="0041740A">
        <w:rPr>
          <w:spacing w:val="-3"/>
        </w:rPr>
        <w:t xml:space="preserve"> </w:t>
      </w:r>
      <w:r w:rsidRPr="0041740A">
        <w:t>an</w:t>
      </w:r>
      <w:r w:rsidRPr="0041740A">
        <w:rPr>
          <w:spacing w:val="-3"/>
        </w:rPr>
        <w:t xml:space="preserve"> </w:t>
      </w:r>
      <w:r w:rsidRPr="0041740A">
        <w:t>application instead of the Commissioner under s19 of the Act where a conflict of interest has been identified.</w:t>
      </w:r>
    </w:p>
    <w:p w14:paraId="446E49EE" w14:textId="77777777" w:rsidR="009008CF" w:rsidRPr="0041740A" w:rsidRDefault="00FE1F0F" w:rsidP="007F63AE">
      <w:pPr>
        <w:pStyle w:val="ListParagraph"/>
        <w:numPr>
          <w:ilvl w:val="0"/>
          <w:numId w:val="1"/>
        </w:numPr>
        <w:ind w:left="284"/>
      </w:pPr>
      <w:r w:rsidRPr="0041740A">
        <w:rPr>
          <w:b/>
        </w:rPr>
        <w:t xml:space="preserve">Administrator </w:t>
      </w:r>
      <w:r w:rsidRPr="0041740A">
        <w:t>is</w:t>
      </w:r>
      <w:r w:rsidRPr="0041740A">
        <w:rPr>
          <w:spacing w:val="-2"/>
        </w:rPr>
        <w:t xml:space="preserve"> </w:t>
      </w:r>
      <w:r w:rsidRPr="0041740A">
        <w:t>a</w:t>
      </w:r>
      <w:r w:rsidRPr="0041740A">
        <w:rPr>
          <w:spacing w:val="-2"/>
        </w:rPr>
        <w:t xml:space="preserve"> </w:t>
      </w:r>
      <w:r w:rsidRPr="0041740A">
        <w:t>person</w:t>
      </w:r>
      <w:r w:rsidRPr="0041740A">
        <w:rPr>
          <w:spacing w:val="-1"/>
        </w:rPr>
        <w:t xml:space="preserve"> </w:t>
      </w:r>
      <w:r w:rsidRPr="0041740A">
        <w:t>who</w:t>
      </w:r>
      <w:r w:rsidRPr="0041740A">
        <w:rPr>
          <w:spacing w:val="-2"/>
        </w:rPr>
        <w:t xml:space="preserve"> </w:t>
      </w:r>
      <w:r w:rsidRPr="0041740A">
        <w:t>is</w:t>
      </w:r>
      <w:r w:rsidRPr="0041740A">
        <w:rPr>
          <w:spacing w:val="-2"/>
        </w:rPr>
        <w:t xml:space="preserve"> </w:t>
      </w:r>
      <w:r w:rsidRPr="0041740A">
        <w:t>or</w:t>
      </w:r>
      <w:r w:rsidRPr="0041740A">
        <w:rPr>
          <w:spacing w:val="-1"/>
        </w:rPr>
        <w:t xml:space="preserve"> </w:t>
      </w:r>
      <w:r w:rsidRPr="0041740A">
        <w:rPr>
          <w:spacing w:val="-4"/>
        </w:rPr>
        <w:t>was:</w:t>
      </w:r>
    </w:p>
    <w:p w14:paraId="561704CE" w14:textId="77777777" w:rsidR="009008CF" w:rsidRPr="0041740A" w:rsidRDefault="00FE1F0F" w:rsidP="007F63AE">
      <w:pPr>
        <w:pStyle w:val="ListParagraph"/>
        <w:numPr>
          <w:ilvl w:val="1"/>
          <w:numId w:val="1"/>
        </w:numPr>
        <w:ind w:left="284"/>
      </w:pPr>
      <w:r w:rsidRPr="0041740A">
        <w:t>the Commissioner</w:t>
      </w:r>
    </w:p>
    <w:p w14:paraId="4C202867" w14:textId="77777777" w:rsidR="009008CF" w:rsidRPr="0041740A" w:rsidRDefault="00FE1F0F" w:rsidP="007F63AE">
      <w:pPr>
        <w:pStyle w:val="ListParagraph"/>
        <w:numPr>
          <w:ilvl w:val="1"/>
          <w:numId w:val="1"/>
        </w:numPr>
        <w:ind w:left="284"/>
      </w:pPr>
      <w:r w:rsidRPr="0041740A">
        <w:t>an</w:t>
      </w:r>
      <w:r w:rsidRPr="0041740A">
        <w:rPr>
          <w:spacing w:val="-3"/>
        </w:rPr>
        <w:t xml:space="preserve"> </w:t>
      </w:r>
      <w:r w:rsidRPr="0041740A">
        <w:t>officer</w:t>
      </w:r>
      <w:r w:rsidRPr="0041740A">
        <w:rPr>
          <w:spacing w:val="-3"/>
        </w:rPr>
        <w:t xml:space="preserve"> </w:t>
      </w:r>
      <w:r w:rsidRPr="0041740A">
        <w:t>of</w:t>
      </w:r>
      <w:r w:rsidRPr="0041740A">
        <w:rPr>
          <w:spacing w:val="-3"/>
        </w:rPr>
        <w:t xml:space="preserve"> </w:t>
      </w:r>
      <w:r w:rsidRPr="0041740A">
        <w:t>the</w:t>
      </w:r>
      <w:r w:rsidRPr="0041740A">
        <w:rPr>
          <w:spacing w:val="-2"/>
        </w:rPr>
        <w:t xml:space="preserve"> </w:t>
      </w:r>
      <w:r w:rsidRPr="0041740A">
        <w:t>Office</w:t>
      </w:r>
      <w:r w:rsidRPr="0041740A">
        <w:rPr>
          <w:spacing w:val="-3"/>
        </w:rPr>
        <w:t xml:space="preserve"> </w:t>
      </w:r>
      <w:r w:rsidRPr="0041740A">
        <w:t>of</w:t>
      </w:r>
      <w:r w:rsidRPr="0041740A">
        <w:rPr>
          <w:spacing w:val="-3"/>
        </w:rPr>
        <w:t xml:space="preserve"> </w:t>
      </w:r>
      <w:r w:rsidRPr="0041740A">
        <w:t>the</w:t>
      </w:r>
      <w:r w:rsidRPr="0041740A">
        <w:rPr>
          <w:spacing w:val="-2"/>
        </w:rPr>
        <w:t xml:space="preserve"> Commissioner</w:t>
      </w:r>
    </w:p>
    <w:p w14:paraId="08BAE1E5" w14:textId="77777777" w:rsidR="009008CF" w:rsidRPr="0041740A" w:rsidRDefault="00FE1F0F" w:rsidP="007F63AE">
      <w:pPr>
        <w:pStyle w:val="ListParagraph"/>
        <w:numPr>
          <w:ilvl w:val="1"/>
          <w:numId w:val="1"/>
        </w:numPr>
        <w:ind w:left="284"/>
      </w:pPr>
      <w:r w:rsidRPr="0041740A">
        <w:t>a</w:t>
      </w:r>
      <w:r w:rsidRPr="0041740A">
        <w:rPr>
          <w:spacing w:val="-2"/>
        </w:rPr>
        <w:t xml:space="preserve"> </w:t>
      </w:r>
      <w:r w:rsidRPr="0041740A">
        <w:t>Review</w:t>
      </w:r>
      <w:r w:rsidRPr="0041740A">
        <w:rPr>
          <w:spacing w:val="-1"/>
        </w:rPr>
        <w:t xml:space="preserve"> </w:t>
      </w:r>
      <w:r w:rsidRPr="0041740A">
        <w:rPr>
          <w:spacing w:val="-2"/>
        </w:rPr>
        <w:t>Officer</w:t>
      </w:r>
    </w:p>
    <w:p w14:paraId="0478C5F1" w14:textId="77777777" w:rsidR="009008CF" w:rsidRPr="0041740A" w:rsidRDefault="00FE1F0F" w:rsidP="007F63AE">
      <w:pPr>
        <w:pStyle w:val="ListParagraph"/>
        <w:numPr>
          <w:ilvl w:val="1"/>
          <w:numId w:val="1"/>
        </w:numPr>
        <w:ind w:left="284"/>
      </w:pPr>
      <w:r w:rsidRPr="0041740A">
        <w:t>an</w:t>
      </w:r>
      <w:r w:rsidRPr="0041740A">
        <w:rPr>
          <w:spacing w:val="-5"/>
        </w:rPr>
        <w:t xml:space="preserve"> </w:t>
      </w:r>
      <w:r w:rsidRPr="0041740A">
        <w:t>Appointed</w:t>
      </w:r>
      <w:r w:rsidRPr="0041740A">
        <w:rPr>
          <w:spacing w:val="-3"/>
        </w:rPr>
        <w:t xml:space="preserve"> </w:t>
      </w:r>
      <w:r w:rsidRPr="0041740A">
        <w:t>Person</w:t>
      </w:r>
      <w:r w:rsidRPr="0041740A">
        <w:rPr>
          <w:spacing w:val="-2"/>
        </w:rPr>
        <w:t xml:space="preserve"> </w:t>
      </w:r>
      <w:r w:rsidRPr="0041740A">
        <w:rPr>
          <w:spacing w:val="-5"/>
        </w:rPr>
        <w:t>or</w:t>
      </w:r>
    </w:p>
    <w:p w14:paraId="284E676C" w14:textId="77777777" w:rsidR="009008CF" w:rsidRPr="0041740A" w:rsidRDefault="00FE1F0F" w:rsidP="007F63AE">
      <w:pPr>
        <w:pStyle w:val="ListParagraph"/>
        <w:numPr>
          <w:ilvl w:val="1"/>
          <w:numId w:val="1"/>
        </w:numPr>
        <w:ind w:left="284"/>
      </w:pPr>
      <w:r w:rsidRPr="0041740A">
        <w:t>an</w:t>
      </w:r>
      <w:r w:rsidRPr="0041740A">
        <w:rPr>
          <w:spacing w:val="-2"/>
        </w:rPr>
        <w:t xml:space="preserve"> </w:t>
      </w:r>
      <w:r w:rsidRPr="0041740A">
        <w:t>officer</w:t>
      </w:r>
      <w:r w:rsidRPr="0041740A">
        <w:rPr>
          <w:spacing w:val="-1"/>
        </w:rPr>
        <w:t xml:space="preserve"> </w:t>
      </w:r>
      <w:r w:rsidRPr="0041740A">
        <w:t>or</w:t>
      </w:r>
      <w:r w:rsidRPr="0041740A">
        <w:rPr>
          <w:spacing w:val="-2"/>
        </w:rPr>
        <w:t xml:space="preserve"> </w:t>
      </w:r>
      <w:r w:rsidRPr="0041740A">
        <w:t>employee</w:t>
      </w:r>
      <w:r w:rsidRPr="0041740A">
        <w:rPr>
          <w:spacing w:val="-1"/>
        </w:rPr>
        <w:t xml:space="preserve"> </w:t>
      </w:r>
      <w:r w:rsidRPr="0041740A">
        <w:t>of</w:t>
      </w:r>
      <w:r w:rsidRPr="0041740A">
        <w:rPr>
          <w:spacing w:val="-2"/>
        </w:rPr>
        <w:t xml:space="preserve"> </w:t>
      </w:r>
      <w:r w:rsidRPr="0041740A">
        <w:t>the</w:t>
      </w:r>
      <w:r w:rsidRPr="0041740A">
        <w:rPr>
          <w:spacing w:val="-1"/>
        </w:rPr>
        <w:t xml:space="preserve"> </w:t>
      </w:r>
      <w:r w:rsidRPr="0041740A">
        <w:t>department</w:t>
      </w:r>
      <w:r w:rsidRPr="0041740A">
        <w:rPr>
          <w:spacing w:val="-1"/>
        </w:rPr>
        <w:t xml:space="preserve"> </w:t>
      </w:r>
      <w:r w:rsidRPr="0041740A">
        <w:t>whose</w:t>
      </w:r>
      <w:r w:rsidRPr="0041740A">
        <w:rPr>
          <w:spacing w:val="-2"/>
        </w:rPr>
        <w:t xml:space="preserve"> </w:t>
      </w:r>
      <w:r w:rsidRPr="0041740A">
        <w:t>services</w:t>
      </w:r>
      <w:r w:rsidRPr="0041740A">
        <w:rPr>
          <w:spacing w:val="-1"/>
        </w:rPr>
        <w:t xml:space="preserve"> </w:t>
      </w:r>
      <w:r w:rsidRPr="0041740A">
        <w:t>are</w:t>
      </w:r>
      <w:r w:rsidRPr="0041740A">
        <w:rPr>
          <w:spacing w:val="-2"/>
        </w:rPr>
        <w:t xml:space="preserve"> </w:t>
      </w:r>
      <w:r w:rsidRPr="0041740A">
        <w:t>made</w:t>
      </w:r>
      <w:r w:rsidRPr="0041740A">
        <w:rPr>
          <w:spacing w:val="-1"/>
        </w:rPr>
        <w:t xml:space="preserve"> </w:t>
      </w:r>
      <w:r w:rsidRPr="0041740A">
        <w:t>available</w:t>
      </w:r>
      <w:r w:rsidRPr="0041740A">
        <w:rPr>
          <w:spacing w:val="-2"/>
        </w:rPr>
        <w:t xml:space="preserve"> </w:t>
      </w:r>
      <w:r w:rsidRPr="0041740A">
        <w:t>to</w:t>
      </w:r>
      <w:r w:rsidRPr="0041740A">
        <w:rPr>
          <w:spacing w:val="-1"/>
        </w:rPr>
        <w:t xml:space="preserve"> </w:t>
      </w:r>
      <w:r w:rsidRPr="0041740A">
        <w:t>the</w:t>
      </w:r>
      <w:r w:rsidRPr="0041740A">
        <w:rPr>
          <w:spacing w:val="-1"/>
        </w:rPr>
        <w:t xml:space="preserve"> </w:t>
      </w:r>
      <w:r w:rsidRPr="0041740A">
        <w:t>Commissioner</w:t>
      </w:r>
      <w:r w:rsidRPr="0041740A">
        <w:rPr>
          <w:spacing w:val="-2"/>
        </w:rPr>
        <w:t xml:space="preserve"> </w:t>
      </w:r>
      <w:r w:rsidRPr="0041740A">
        <w:t>under</w:t>
      </w:r>
      <w:r w:rsidRPr="0041740A">
        <w:rPr>
          <w:spacing w:val="-1"/>
        </w:rPr>
        <w:t xml:space="preserve"> </w:t>
      </w:r>
      <w:r w:rsidRPr="0041740A">
        <w:rPr>
          <w:spacing w:val="-2"/>
        </w:rPr>
        <w:t>s30(2).</w:t>
      </w:r>
    </w:p>
    <w:p w14:paraId="62E26EE7" w14:textId="77777777" w:rsidR="009008CF" w:rsidRPr="0041740A" w:rsidRDefault="00FE1F0F" w:rsidP="007F63AE">
      <w:pPr>
        <w:pStyle w:val="ListParagraph"/>
        <w:numPr>
          <w:ilvl w:val="0"/>
          <w:numId w:val="1"/>
        </w:numPr>
        <w:ind w:left="284"/>
      </w:pPr>
      <w:r w:rsidRPr="0041740A">
        <w:rPr>
          <w:b/>
        </w:rPr>
        <w:lastRenderedPageBreak/>
        <w:t xml:space="preserve">The Minister </w:t>
      </w:r>
      <w:proofErr w:type="gramStart"/>
      <w:r w:rsidRPr="0041740A">
        <w:t>The</w:t>
      </w:r>
      <w:proofErr w:type="gramEnd"/>
      <w:r w:rsidRPr="0041740A">
        <w:t xml:space="preserve"> Minister referred to in the Act is the Minister for Seniors, Disability Services and Minister for Aboriginal</w:t>
      </w:r>
      <w:r w:rsidRPr="0041740A">
        <w:rPr>
          <w:spacing w:val="-6"/>
        </w:rPr>
        <w:t xml:space="preserve"> </w:t>
      </w:r>
      <w:r w:rsidRPr="0041740A">
        <w:t>and</w:t>
      </w:r>
      <w:r w:rsidRPr="0041740A">
        <w:rPr>
          <w:spacing w:val="-6"/>
        </w:rPr>
        <w:t xml:space="preserve"> </w:t>
      </w:r>
      <w:r w:rsidRPr="0041740A">
        <w:t>Torres</w:t>
      </w:r>
      <w:r w:rsidRPr="0041740A">
        <w:rPr>
          <w:spacing w:val="-6"/>
        </w:rPr>
        <w:t xml:space="preserve"> </w:t>
      </w:r>
      <w:r w:rsidRPr="0041740A">
        <w:t>Strait</w:t>
      </w:r>
      <w:r w:rsidRPr="0041740A">
        <w:rPr>
          <w:spacing w:val="-6"/>
        </w:rPr>
        <w:t xml:space="preserve"> </w:t>
      </w:r>
      <w:r w:rsidRPr="0041740A">
        <w:t>Islander</w:t>
      </w:r>
      <w:r w:rsidRPr="0041740A">
        <w:rPr>
          <w:spacing w:val="-6"/>
        </w:rPr>
        <w:t xml:space="preserve"> </w:t>
      </w:r>
      <w:r w:rsidRPr="0041740A">
        <w:t>Partnerships</w:t>
      </w:r>
      <w:r w:rsidRPr="0041740A">
        <w:rPr>
          <w:spacing w:val="-6"/>
        </w:rPr>
        <w:t xml:space="preserve"> </w:t>
      </w:r>
      <w:r w:rsidRPr="0041740A">
        <w:t>under</w:t>
      </w:r>
      <w:r w:rsidRPr="0041740A">
        <w:rPr>
          <w:spacing w:val="-6"/>
        </w:rPr>
        <w:t xml:space="preserve"> </w:t>
      </w:r>
      <w:r w:rsidRPr="0041740A">
        <w:t>the</w:t>
      </w:r>
      <w:r w:rsidRPr="0041740A">
        <w:rPr>
          <w:spacing w:val="-6"/>
        </w:rPr>
        <w:t xml:space="preserve"> </w:t>
      </w:r>
      <w:r w:rsidRPr="0041740A">
        <w:t>Administrative</w:t>
      </w:r>
      <w:r w:rsidRPr="0041740A">
        <w:rPr>
          <w:spacing w:val="-6"/>
        </w:rPr>
        <w:t xml:space="preserve"> </w:t>
      </w:r>
      <w:r w:rsidRPr="0041740A">
        <w:t>Arrangements</w:t>
      </w:r>
      <w:r w:rsidRPr="0041740A">
        <w:rPr>
          <w:spacing w:val="-6"/>
        </w:rPr>
        <w:t xml:space="preserve"> </w:t>
      </w:r>
      <w:r w:rsidRPr="0041740A">
        <w:t>Order</w:t>
      </w:r>
      <w:r w:rsidRPr="0041740A">
        <w:rPr>
          <w:spacing w:val="-6"/>
        </w:rPr>
        <w:t xml:space="preserve"> </w:t>
      </w:r>
      <w:r w:rsidRPr="0041740A">
        <w:t>(No.</w:t>
      </w:r>
      <w:r w:rsidRPr="0041740A">
        <w:rPr>
          <w:spacing w:val="-6"/>
        </w:rPr>
        <w:t xml:space="preserve"> </w:t>
      </w:r>
      <w:r w:rsidRPr="0041740A">
        <w:t>2)</w:t>
      </w:r>
      <w:r w:rsidRPr="0041740A">
        <w:rPr>
          <w:spacing w:val="-6"/>
        </w:rPr>
        <w:t xml:space="preserve"> </w:t>
      </w:r>
      <w:r w:rsidRPr="0041740A">
        <w:t>2021</w:t>
      </w:r>
      <w:r w:rsidRPr="0041740A">
        <w:rPr>
          <w:spacing w:val="-6"/>
        </w:rPr>
        <w:t xml:space="preserve"> </w:t>
      </w:r>
      <w:r w:rsidRPr="0041740A">
        <w:t xml:space="preserve">and s33 of </w:t>
      </w:r>
      <w:r w:rsidRPr="0041740A">
        <w:rPr>
          <w:rFonts w:ascii="Metric-RegularItalic" w:hAnsi="Metric-RegularItalic"/>
          <w:i/>
        </w:rPr>
        <w:t xml:space="preserve">the Acts Interpretation Act 1954 </w:t>
      </w:r>
      <w:r w:rsidRPr="0041740A">
        <w:t>(Qld).</w:t>
      </w:r>
    </w:p>
    <w:p w14:paraId="23C57780" w14:textId="77777777" w:rsidR="009008CF" w:rsidRPr="0041740A" w:rsidRDefault="00FE1F0F" w:rsidP="007F63AE">
      <w:pPr>
        <w:pStyle w:val="ListParagraph"/>
        <w:numPr>
          <w:ilvl w:val="0"/>
          <w:numId w:val="1"/>
        </w:numPr>
        <w:ind w:left="284"/>
      </w:pPr>
      <w:r w:rsidRPr="0041740A">
        <w:t>Schedule</w:t>
      </w:r>
      <w:r w:rsidRPr="0041740A">
        <w:rPr>
          <w:spacing w:val="-1"/>
        </w:rPr>
        <w:t xml:space="preserve"> </w:t>
      </w:r>
      <w:r w:rsidRPr="0041740A">
        <w:t>1 of</w:t>
      </w:r>
      <w:r w:rsidRPr="0041740A">
        <w:rPr>
          <w:spacing w:val="-1"/>
        </w:rPr>
        <w:t xml:space="preserve"> </w:t>
      </w:r>
      <w:r w:rsidRPr="0041740A">
        <w:t>the Act has</w:t>
      </w:r>
      <w:r w:rsidRPr="0041740A">
        <w:rPr>
          <w:spacing w:val="-1"/>
        </w:rPr>
        <w:t xml:space="preserve"> </w:t>
      </w:r>
      <w:r w:rsidRPr="0041740A">
        <w:t>definitions of</w:t>
      </w:r>
      <w:r w:rsidRPr="0041740A">
        <w:rPr>
          <w:spacing w:val="-1"/>
        </w:rPr>
        <w:t xml:space="preserve"> </w:t>
      </w:r>
      <w:r w:rsidRPr="0041740A">
        <w:t>other terms used</w:t>
      </w:r>
      <w:r w:rsidRPr="0041740A">
        <w:rPr>
          <w:spacing w:val="-1"/>
        </w:rPr>
        <w:t xml:space="preserve"> </w:t>
      </w:r>
      <w:r w:rsidRPr="0041740A">
        <w:t xml:space="preserve">within the </w:t>
      </w:r>
      <w:r w:rsidRPr="0041740A">
        <w:rPr>
          <w:spacing w:val="-5"/>
        </w:rPr>
        <w:t>Act</w:t>
      </w:r>
    </w:p>
    <w:p w14:paraId="1753A4DE" w14:textId="77777777" w:rsidR="009008CF" w:rsidRPr="0041740A" w:rsidRDefault="00FE1F0F" w:rsidP="004B0C46">
      <w:pPr>
        <w:pStyle w:val="Heading2"/>
      </w:pPr>
      <w:bookmarkStart w:id="3" w:name="_bookmark34"/>
      <w:bookmarkStart w:id="4" w:name="_bookmark35"/>
      <w:bookmarkStart w:id="5" w:name="_Toc125539111"/>
      <w:bookmarkEnd w:id="3"/>
      <w:bookmarkEnd w:id="4"/>
      <w:r w:rsidRPr="004B0C46">
        <w:t>Appendix</w:t>
      </w:r>
      <w:r w:rsidRPr="0041740A">
        <w:rPr>
          <w:spacing w:val="3"/>
        </w:rPr>
        <w:t xml:space="preserve"> </w:t>
      </w:r>
      <w:r w:rsidRPr="0041740A">
        <w:rPr>
          <w:spacing w:val="-10"/>
        </w:rPr>
        <w:t>B</w:t>
      </w:r>
      <w:bookmarkEnd w:id="5"/>
    </w:p>
    <w:p w14:paraId="770C4016" w14:textId="77777777" w:rsidR="009008CF" w:rsidRPr="0041740A" w:rsidRDefault="00FE1F0F" w:rsidP="004B0C46">
      <w:pPr>
        <w:pStyle w:val="Heading4"/>
      </w:pPr>
      <w:r w:rsidRPr="0041740A">
        <w:t>FOR</w:t>
      </w:r>
      <w:r w:rsidRPr="0041740A">
        <w:rPr>
          <w:spacing w:val="-4"/>
        </w:rPr>
        <w:t xml:space="preserve"> </w:t>
      </w:r>
      <w:r w:rsidRPr="0041740A">
        <w:t>FURTHER INFORMATION</w:t>
      </w:r>
    </w:p>
    <w:p w14:paraId="2C038A9F" w14:textId="699FD010" w:rsidR="009008CF" w:rsidRPr="004B0C46" w:rsidRDefault="00FE1F0F" w:rsidP="004B0C46">
      <w:r w:rsidRPr="004B0C46">
        <w:t xml:space="preserve">Office of the Commissioner Meriba Omasker Kaziw Kazipa </w:t>
      </w:r>
      <w:hyperlink r:id="rId8">
        <w:r w:rsidRPr="004B0C46">
          <w:rPr>
            <w:rStyle w:val="Hyperlink"/>
          </w:rPr>
          <w:t>www.ocmokk.qld.gov.au</w:t>
        </w:r>
      </w:hyperlink>
      <w:r w:rsidR="008E672F" w:rsidRPr="004B0C46">
        <w:t xml:space="preserve"> </w:t>
      </w:r>
    </w:p>
    <w:p w14:paraId="1EE9CEB4" w14:textId="77777777" w:rsidR="009008CF" w:rsidRPr="004B0C46" w:rsidRDefault="00FE1F0F" w:rsidP="004B0C46">
      <w:pPr>
        <w:pStyle w:val="Heading5"/>
      </w:pPr>
      <w:r w:rsidRPr="004B0C46">
        <w:t>The Bill</w:t>
      </w:r>
    </w:p>
    <w:p w14:paraId="0AAB9A2C" w14:textId="77777777" w:rsidR="009008CF" w:rsidRPr="004B0C46" w:rsidRDefault="00FE1F0F" w:rsidP="004B0C46">
      <w:r w:rsidRPr="004B0C46">
        <w:t xml:space="preserve">Meriba Omasker Kaziw Kazipa – The Bill, Report No 40, August 2020 tabled by Cynthia Lui MP, Member for Cook, Queensland Parliament </w:t>
      </w:r>
      <w:hyperlink r:id="rId9">
        <w:r w:rsidRPr="004B0C46">
          <w:rPr>
            <w:rStyle w:val="Hyperlink"/>
          </w:rPr>
          <w:t>https://documents.parliament.qld.gov.au/tableOffice/TabledPapers/2020/5620T1395.p</w:t>
        </w:r>
      </w:hyperlink>
      <w:r w:rsidRPr="004B0C46">
        <w:t>df</w:t>
      </w:r>
    </w:p>
    <w:p w14:paraId="74464819" w14:textId="77777777" w:rsidR="009008CF" w:rsidRPr="004B0C46" w:rsidRDefault="00FE1F0F" w:rsidP="004B0C46">
      <w:pPr>
        <w:pStyle w:val="Heading5"/>
      </w:pPr>
      <w:r w:rsidRPr="004B0C46">
        <w:t>The Act</w:t>
      </w:r>
    </w:p>
    <w:p w14:paraId="4748D72D" w14:textId="77777777" w:rsidR="009008CF" w:rsidRPr="004B0C46" w:rsidRDefault="00C2113A" w:rsidP="004B0C46">
      <w:hyperlink r:id="rId10">
        <w:r w:rsidR="00FE1F0F" w:rsidRPr="004B0C46">
          <w:rPr>
            <w:rStyle w:val="Hyperlink"/>
          </w:rPr>
          <w:t>https://www.legislation.qld.gov.au/view/html/inforce/current/act-2020-033</w:t>
        </w:r>
      </w:hyperlink>
      <w:r w:rsidR="00FE1F0F" w:rsidRPr="004B0C46">
        <w:t xml:space="preserve"> </w:t>
      </w:r>
      <w:hyperlink r:id="rId11">
        <w:r w:rsidR="00FE1F0F" w:rsidRPr="004B0C46">
          <w:rPr>
            <w:rStyle w:val="Hyperlink"/>
          </w:rPr>
          <w:t>https://www.legislation.qld.gov.au/view/html/asmade/act-2020-033</w:t>
        </w:r>
      </w:hyperlink>
    </w:p>
    <w:p w14:paraId="5073A8FF" w14:textId="77777777" w:rsidR="009008CF" w:rsidRPr="004B0C46" w:rsidRDefault="00FE1F0F" w:rsidP="004B0C46">
      <w:pPr>
        <w:pStyle w:val="Heading5"/>
      </w:pPr>
      <w:r w:rsidRPr="004B0C46">
        <w:t>The Regulation</w:t>
      </w:r>
    </w:p>
    <w:p w14:paraId="00271BB4" w14:textId="77777777" w:rsidR="009008CF" w:rsidRPr="004B0C46" w:rsidRDefault="00C2113A" w:rsidP="004B0C46">
      <w:hyperlink r:id="rId12">
        <w:r w:rsidR="00FE1F0F" w:rsidRPr="004B0C46">
          <w:rPr>
            <w:rStyle w:val="Hyperlink"/>
          </w:rPr>
          <w:t>https://www.legislation.qld.gov.au/view/html/inforce/current/sl-2021-0120</w:t>
        </w:r>
      </w:hyperlink>
    </w:p>
    <w:p w14:paraId="775E6C6E" w14:textId="77777777" w:rsidR="009008CF" w:rsidRPr="004B0C46" w:rsidRDefault="00FE1F0F" w:rsidP="004B0C46">
      <w:pPr>
        <w:pStyle w:val="Heading5"/>
      </w:pPr>
      <w:r w:rsidRPr="004B0C46">
        <w:t>The Guidelines</w:t>
      </w:r>
    </w:p>
    <w:p w14:paraId="7C729FF6" w14:textId="77777777" w:rsidR="009008CF" w:rsidRPr="004B0C46" w:rsidRDefault="00C2113A" w:rsidP="004B0C46">
      <w:hyperlink r:id="rId13">
        <w:r w:rsidR="00FE1F0F" w:rsidRPr="004B0C46">
          <w:rPr>
            <w:rStyle w:val="Hyperlink"/>
          </w:rPr>
          <w:t>https://www.ocmokk.qld.gov.au/resources/ocmokk/ockmokk-guidelines.pdf</w:t>
        </w:r>
      </w:hyperlink>
    </w:p>
    <w:p w14:paraId="546F8D16" w14:textId="77777777" w:rsidR="009008CF" w:rsidRPr="004B0C46" w:rsidRDefault="00FE1F0F" w:rsidP="004B0C46">
      <w:pPr>
        <w:pStyle w:val="Heading5"/>
      </w:pPr>
      <w:r w:rsidRPr="004B0C46">
        <w:t>Media Releases</w:t>
      </w:r>
    </w:p>
    <w:p w14:paraId="56847469" w14:textId="77777777" w:rsidR="009008CF" w:rsidRPr="004B0C46" w:rsidRDefault="00C2113A" w:rsidP="004B0C46">
      <w:hyperlink r:id="rId14">
        <w:r w:rsidR="00FE1F0F" w:rsidRPr="004B0C46">
          <w:rPr>
            <w:rStyle w:val="Hyperlink"/>
          </w:rPr>
          <w:t>https://www.ocmokk.qld.gov.au/news-updates</w:t>
        </w:r>
      </w:hyperlink>
    </w:p>
    <w:p w14:paraId="4C42B828" w14:textId="77777777" w:rsidR="009008CF" w:rsidRPr="004B0C46" w:rsidRDefault="00FE1F0F" w:rsidP="004B0C46">
      <w:pPr>
        <w:pStyle w:val="Heading4"/>
      </w:pPr>
      <w:r w:rsidRPr="004B0C46">
        <w:t>OTHER INFORMATION</w:t>
      </w:r>
    </w:p>
    <w:p w14:paraId="369FB7DD" w14:textId="77777777" w:rsidR="009008CF" w:rsidRPr="004B0C46" w:rsidRDefault="00FE1F0F" w:rsidP="004B0C46">
      <w:pPr>
        <w:pStyle w:val="Heading5"/>
      </w:pPr>
      <w:r w:rsidRPr="004B0C46">
        <w:t>DSDSATSIP</w:t>
      </w:r>
    </w:p>
    <w:p w14:paraId="285D7141" w14:textId="77777777" w:rsidR="009008CF" w:rsidRPr="004B0C46" w:rsidRDefault="00C2113A" w:rsidP="004B0C46">
      <w:hyperlink r:id="rId15">
        <w:r w:rsidR="00FE1F0F" w:rsidRPr="004B0C46">
          <w:rPr>
            <w:rStyle w:val="Hyperlink"/>
          </w:rPr>
          <w:t>https://www.qld.gov.au/firstnations/family-social-support/torres-strait-islander-traditional-child-rearing-</w:t>
        </w:r>
      </w:hyperlink>
      <w:r w:rsidR="00FE1F0F" w:rsidRPr="004B0C46">
        <w:t xml:space="preserve"> </w:t>
      </w:r>
      <w:hyperlink r:id="rId16">
        <w:r w:rsidR="00FE1F0F" w:rsidRPr="004B0C46">
          <w:rPr>
            <w:rStyle w:val="Hyperlink"/>
          </w:rPr>
          <w:t>practice</w:t>
        </w:r>
      </w:hyperlink>
    </w:p>
    <w:p w14:paraId="23CE8788" w14:textId="77777777" w:rsidR="009008CF" w:rsidRPr="004B0C46" w:rsidRDefault="00FE1F0F" w:rsidP="004B0C46">
      <w:r w:rsidRPr="004B0C46">
        <w:t xml:space="preserve">Paul Bann, ‘Customary ‘Adoption’ in the Torres Strait Islands towards Legal Recognition’, Aboriginal </w:t>
      </w:r>
      <w:proofErr w:type="spellStart"/>
      <w:r w:rsidRPr="004B0C46">
        <w:t>LawBulletin</w:t>
      </w:r>
      <w:proofErr w:type="spellEnd"/>
      <w:r w:rsidRPr="004B0C46">
        <w:t>, 1994, 3(66), p 2.</w:t>
      </w:r>
    </w:p>
    <w:p w14:paraId="453239BB" w14:textId="77777777" w:rsidR="009008CF" w:rsidRPr="004B0C46" w:rsidRDefault="00C2113A" w:rsidP="004B0C46">
      <w:hyperlink r:id="rId17">
        <w:r w:rsidR="00FE1F0F" w:rsidRPr="004B0C46">
          <w:rPr>
            <w:rStyle w:val="Hyperlink"/>
          </w:rPr>
          <w:t>Torres Strait Islander family life | Australian Institute of Family Studies (aifs.gov.au)</w:t>
        </w:r>
      </w:hyperlink>
    </w:p>
    <w:p w14:paraId="32DDA628" w14:textId="77777777" w:rsidR="009008CF" w:rsidRPr="004B0C46" w:rsidRDefault="00FE1F0F" w:rsidP="004B0C46">
      <w:r w:rsidRPr="004B0C46">
        <w:t xml:space="preserve">The coconut palm tree: a metaphor for Islander family life </w:t>
      </w:r>
      <w:hyperlink r:id="rId18">
        <w:r w:rsidRPr="004B0C46">
          <w:rPr>
            <w:rStyle w:val="Hyperlink"/>
          </w:rPr>
          <w:t>https://www.creativespirits.info/aboriginalculture/people/torres-strait-islander-culture</w:t>
        </w:r>
      </w:hyperlink>
    </w:p>
    <w:p w14:paraId="7C3C2398" w14:textId="77777777" w:rsidR="009008CF" w:rsidRPr="004B0C46" w:rsidRDefault="00FE1F0F" w:rsidP="004B0C46">
      <w:r w:rsidRPr="004B0C46">
        <w:t xml:space="preserve">Meriba Omasker Kaziw Kazipa (Torres Strait Islander Traditional Child Rearing Practice) Bill 2020 – paper by Alastair Nicholson </w:t>
      </w:r>
      <w:hyperlink r:id="rId19">
        <w:r w:rsidRPr="004B0C46">
          <w:rPr>
            <w:rStyle w:val="Hyperlink"/>
          </w:rPr>
          <w:t>https://documents.parliament.qld.gov.au/tableOffice/TabledPapers/2020/5620T1395.pdf</w:t>
        </w:r>
      </w:hyperlink>
    </w:p>
    <w:p w14:paraId="2A2E80F8" w14:textId="77777777" w:rsidR="009008CF" w:rsidRPr="004B0C46" w:rsidRDefault="00FE1F0F" w:rsidP="004B0C46">
      <w:r w:rsidRPr="004B0C46">
        <w:t xml:space="preserve">Beck &amp; Whitby – </w:t>
      </w:r>
      <w:proofErr w:type="spellStart"/>
      <w:r w:rsidRPr="004B0C46">
        <w:t>Kupai</w:t>
      </w:r>
      <w:proofErr w:type="spellEnd"/>
      <w:r w:rsidRPr="004B0C46">
        <w:t xml:space="preserve"> </w:t>
      </w:r>
      <w:proofErr w:type="spellStart"/>
      <w:r w:rsidRPr="004B0C46">
        <w:t>Omasker</w:t>
      </w:r>
      <w:proofErr w:type="spellEnd"/>
      <w:r w:rsidRPr="004B0C46">
        <w:t xml:space="preserve"> Case Submission </w:t>
      </w:r>
      <w:hyperlink r:id="rId20">
        <w:r w:rsidRPr="004B0C46">
          <w:rPr>
            <w:rStyle w:val="Hyperlink"/>
          </w:rPr>
          <w:t>http://www.austlii.edu.au/cgi-bin/sinodisp/au/cases/cth/FamCA/2012/129.</w:t>
        </w:r>
      </w:hyperlink>
      <w:r w:rsidRPr="004B0C46">
        <w:t xml:space="preserve"> </w:t>
      </w:r>
      <w:hyperlink r:id="rId21">
        <w:proofErr w:type="spellStart"/>
        <w:r w:rsidRPr="004B0C46">
          <w:rPr>
            <w:rStyle w:val="Hyperlink"/>
          </w:rPr>
          <w:t>html?stem</w:t>
        </w:r>
        <w:proofErr w:type="spellEnd"/>
        <w:r w:rsidRPr="004B0C46">
          <w:rPr>
            <w:rStyle w:val="Hyperlink"/>
          </w:rPr>
          <w:t>=0&amp;synonyms=0&amp;query=beck</w:t>
        </w:r>
      </w:hyperlink>
    </w:p>
    <w:p w14:paraId="18DD8947" w14:textId="77777777" w:rsidR="004B0C46" w:rsidRDefault="004B0C46" w:rsidP="005F532D">
      <w:pPr>
        <w:pStyle w:val="Heading4"/>
      </w:pPr>
      <w:r>
        <w:br w:type="page"/>
      </w:r>
    </w:p>
    <w:p w14:paraId="780ABACC" w14:textId="3D73A714" w:rsidR="009008CF" w:rsidRPr="0041740A" w:rsidRDefault="00FE1F0F" w:rsidP="005F532D">
      <w:pPr>
        <w:pStyle w:val="Heading4"/>
      </w:pPr>
      <w:r w:rsidRPr="0041740A">
        <w:lastRenderedPageBreak/>
        <w:t>Continuing</w:t>
      </w:r>
      <w:r w:rsidRPr="0041740A">
        <w:rPr>
          <w:spacing w:val="-5"/>
        </w:rPr>
        <w:t xml:space="preserve"> </w:t>
      </w:r>
      <w:r w:rsidRPr="0041740A">
        <w:t>the</w:t>
      </w:r>
      <w:r w:rsidRPr="0041740A">
        <w:rPr>
          <w:spacing w:val="-5"/>
        </w:rPr>
        <w:t xml:space="preserve"> </w:t>
      </w:r>
      <w:r w:rsidRPr="0041740A">
        <w:t>legacy</w:t>
      </w:r>
      <w:r w:rsidRPr="0041740A">
        <w:rPr>
          <w:spacing w:val="-5"/>
        </w:rPr>
        <w:t xml:space="preserve"> </w:t>
      </w:r>
      <w:r w:rsidRPr="0041740A">
        <w:t>of</w:t>
      </w:r>
      <w:r w:rsidRPr="0041740A">
        <w:rPr>
          <w:spacing w:val="-5"/>
        </w:rPr>
        <w:t xml:space="preserve"> </w:t>
      </w:r>
      <w:r w:rsidRPr="0041740A">
        <w:t>advocates</w:t>
      </w:r>
      <w:r w:rsidRPr="0041740A">
        <w:rPr>
          <w:spacing w:val="-5"/>
        </w:rPr>
        <w:t xml:space="preserve"> </w:t>
      </w:r>
      <w:r w:rsidRPr="0041740A">
        <w:t>past</w:t>
      </w:r>
      <w:r w:rsidRPr="0041740A">
        <w:rPr>
          <w:spacing w:val="-5"/>
        </w:rPr>
        <w:t xml:space="preserve"> </w:t>
      </w:r>
      <w:r w:rsidRPr="0041740A">
        <w:t>and</w:t>
      </w:r>
      <w:r w:rsidRPr="0041740A">
        <w:rPr>
          <w:spacing w:val="-5"/>
        </w:rPr>
        <w:t xml:space="preserve"> </w:t>
      </w:r>
      <w:r w:rsidRPr="0041740A">
        <w:t>present</w:t>
      </w:r>
      <w:r w:rsidRPr="0041740A">
        <w:rPr>
          <w:spacing w:val="-5"/>
        </w:rPr>
        <w:t xml:space="preserve"> </w:t>
      </w:r>
      <w:r w:rsidRPr="0041740A">
        <w:t>will</w:t>
      </w:r>
      <w:r w:rsidRPr="0041740A">
        <w:rPr>
          <w:spacing w:val="-5"/>
        </w:rPr>
        <w:t xml:space="preserve"> </w:t>
      </w:r>
      <w:r w:rsidRPr="0041740A">
        <w:t>help</w:t>
      </w:r>
      <w:r w:rsidRPr="0041740A">
        <w:rPr>
          <w:spacing w:val="-5"/>
        </w:rPr>
        <w:t xml:space="preserve"> </w:t>
      </w:r>
      <w:r w:rsidRPr="0041740A">
        <w:t>ensure these practices are recognised and strengthened for Torres Strait Islander</w:t>
      </w:r>
      <w:r w:rsidRPr="0041740A">
        <w:rPr>
          <w:spacing w:val="-2"/>
        </w:rPr>
        <w:t xml:space="preserve"> </w:t>
      </w:r>
      <w:r w:rsidRPr="0041740A">
        <w:t>families</w:t>
      </w:r>
      <w:r w:rsidRPr="0041740A">
        <w:rPr>
          <w:spacing w:val="-2"/>
        </w:rPr>
        <w:t xml:space="preserve"> </w:t>
      </w:r>
      <w:r w:rsidRPr="0041740A">
        <w:t>raising</w:t>
      </w:r>
      <w:r w:rsidRPr="0041740A">
        <w:rPr>
          <w:spacing w:val="-2"/>
        </w:rPr>
        <w:t xml:space="preserve"> </w:t>
      </w:r>
      <w:r w:rsidRPr="0041740A">
        <w:t>future</w:t>
      </w:r>
      <w:r w:rsidRPr="0041740A">
        <w:rPr>
          <w:spacing w:val="-2"/>
        </w:rPr>
        <w:t xml:space="preserve"> </w:t>
      </w:r>
      <w:r w:rsidRPr="0041740A">
        <w:t>generations</w:t>
      </w:r>
      <w:r w:rsidRPr="0041740A">
        <w:rPr>
          <w:spacing w:val="-2"/>
        </w:rPr>
        <w:t xml:space="preserve"> </w:t>
      </w:r>
      <w:r w:rsidRPr="0041740A">
        <w:t>and</w:t>
      </w:r>
      <w:r w:rsidRPr="0041740A">
        <w:rPr>
          <w:spacing w:val="-2"/>
        </w:rPr>
        <w:t xml:space="preserve"> </w:t>
      </w:r>
      <w:r w:rsidRPr="0041740A">
        <w:t>leaders</w:t>
      </w:r>
      <w:r w:rsidRPr="0041740A">
        <w:rPr>
          <w:spacing w:val="-2"/>
        </w:rPr>
        <w:t xml:space="preserve"> </w:t>
      </w:r>
      <w:r w:rsidRPr="0041740A">
        <w:t>of</w:t>
      </w:r>
      <w:r w:rsidRPr="0041740A">
        <w:rPr>
          <w:spacing w:val="-2"/>
        </w:rPr>
        <w:t xml:space="preserve"> </w:t>
      </w:r>
      <w:r w:rsidRPr="0041740A">
        <w:t>tomorrow. In doing so, we acknowledge the importance of culture, family, connection</w:t>
      </w:r>
      <w:r w:rsidRPr="0041740A">
        <w:rPr>
          <w:spacing w:val="-10"/>
        </w:rPr>
        <w:t xml:space="preserve"> </w:t>
      </w:r>
      <w:r w:rsidRPr="0041740A">
        <w:t>and</w:t>
      </w:r>
      <w:r w:rsidRPr="0041740A">
        <w:rPr>
          <w:spacing w:val="-10"/>
        </w:rPr>
        <w:t xml:space="preserve"> </w:t>
      </w:r>
      <w:r w:rsidRPr="0041740A">
        <w:t>self-determination</w:t>
      </w:r>
      <w:r w:rsidRPr="0041740A">
        <w:rPr>
          <w:spacing w:val="-10"/>
        </w:rPr>
        <w:t xml:space="preserve"> </w:t>
      </w:r>
      <w:r w:rsidRPr="0041740A">
        <w:t>for</w:t>
      </w:r>
      <w:r w:rsidRPr="0041740A">
        <w:rPr>
          <w:spacing w:val="-10"/>
        </w:rPr>
        <w:t xml:space="preserve"> </w:t>
      </w:r>
      <w:r w:rsidRPr="0041740A">
        <w:t>Torres</w:t>
      </w:r>
      <w:r w:rsidRPr="0041740A">
        <w:rPr>
          <w:spacing w:val="-10"/>
        </w:rPr>
        <w:t xml:space="preserve"> </w:t>
      </w:r>
      <w:r w:rsidRPr="0041740A">
        <w:t>Strait</w:t>
      </w:r>
      <w:r w:rsidRPr="0041740A">
        <w:rPr>
          <w:spacing w:val="-10"/>
        </w:rPr>
        <w:t xml:space="preserve"> </w:t>
      </w:r>
      <w:r w:rsidRPr="0041740A">
        <w:t>Islander</w:t>
      </w:r>
      <w:r w:rsidRPr="0041740A">
        <w:rPr>
          <w:spacing w:val="-10"/>
        </w:rPr>
        <w:t xml:space="preserve"> </w:t>
      </w:r>
      <w:r w:rsidRPr="0041740A">
        <w:t>children, individuals and their families now and into the future.</w:t>
      </w:r>
    </w:p>
    <w:p w14:paraId="3AC1DB5B" w14:textId="4AAB4ADD" w:rsidR="009008CF" w:rsidRPr="004B0C46" w:rsidRDefault="00FE1F0F" w:rsidP="004B0C46">
      <w:r w:rsidRPr="004B0C46">
        <w:t>Office of the Commissioner Meriba Omasker Kaziw Kazipa (Cairns)</w:t>
      </w:r>
    </w:p>
    <w:p w14:paraId="3A090155" w14:textId="77777777" w:rsidR="009008CF" w:rsidRPr="004B0C46" w:rsidRDefault="00FE1F0F" w:rsidP="004B0C46">
      <w:r w:rsidRPr="004B0C46">
        <w:t>Level 3, Citi Central Building, 46-48 Sheridan Street Cairns, Queensland 4870</w:t>
      </w:r>
    </w:p>
    <w:p w14:paraId="0684FA77" w14:textId="77777777" w:rsidR="009008CF" w:rsidRPr="004B0C46" w:rsidRDefault="00FE1F0F" w:rsidP="004B0C46">
      <w:r w:rsidRPr="004B0C46">
        <w:t>PO Box 7576, Cairns, Qld 4870</w:t>
      </w:r>
    </w:p>
    <w:p w14:paraId="36895FE1" w14:textId="77777777" w:rsidR="009008CF" w:rsidRPr="004B0C46" w:rsidRDefault="00FE1F0F" w:rsidP="004B0C46">
      <w:r w:rsidRPr="004B0C46">
        <w:t>1800 571 102</w:t>
      </w:r>
    </w:p>
    <w:p w14:paraId="4F2FFA80" w14:textId="77777777" w:rsidR="009008CF" w:rsidRPr="004B0C46" w:rsidRDefault="00FE1F0F" w:rsidP="004B0C46">
      <w:proofErr w:type="gramStart"/>
      <w:r w:rsidRPr="004B0C46">
        <w:t>E :</w:t>
      </w:r>
      <w:proofErr w:type="gramEnd"/>
      <w:r w:rsidRPr="004B0C46">
        <w:t xml:space="preserve"> </w:t>
      </w:r>
      <w:hyperlink r:id="rId22">
        <w:r w:rsidRPr="004B0C46">
          <w:rPr>
            <w:rStyle w:val="Hyperlink"/>
          </w:rPr>
          <w:t>office@ocmokk.qld.gov.au</w:t>
        </w:r>
      </w:hyperlink>
    </w:p>
    <w:p w14:paraId="587A0720" w14:textId="77777777" w:rsidR="009008CF" w:rsidRPr="004B0C46" w:rsidRDefault="00FE1F0F" w:rsidP="004B0C46">
      <w:r w:rsidRPr="004B0C46">
        <w:t>Office of the Commissioner Meriba Omasker Kaziw Kazipa (Thursday Island)</w:t>
      </w:r>
    </w:p>
    <w:p w14:paraId="5C703C00" w14:textId="77777777" w:rsidR="009008CF" w:rsidRPr="004B0C46" w:rsidRDefault="00FE1F0F" w:rsidP="004B0C46">
      <w:r w:rsidRPr="004B0C46">
        <w:t>The Torres Haus Offices, 1/46 Victoria Parade Thursday Island, Queensland 4875</w:t>
      </w:r>
    </w:p>
    <w:p w14:paraId="58BAC2FC" w14:textId="77777777" w:rsidR="009008CF" w:rsidRPr="004B0C46" w:rsidRDefault="00FE1F0F" w:rsidP="004B0C46">
      <w:r w:rsidRPr="004B0C46">
        <w:t>PO Box 7576, Cairns, Qld 4870</w:t>
      </w:r>
    </w:p>
    <w:p w14:paraId="0FD72879" w14:textId="77777777" w:rsidR="009008CF" w:rsidRPr="004B0C46" w:rsidRDefault="00FE1F0F" w:rsidP="004B0C46">
      <w:r w:rsidRPr="004B0C46">
        <w:t>1800 571 102</w:t>
      </w:r>
    </w:p>
    <w:p w14:paraId="4C386526" w14:textId="77777777" w:rsidR="009008CF" w:rsidRPr="004B0C46" w:rsidRDefault="00FE1F0F" w:rsidP="004B0C46">
      <w:proofErr w:type="gramStart"/>
      <w:r w:rsidRPr="004B0C46">
        <w:t>E :</w:t>
      </w:r>
      <w:proofErr w:type="gramEnd"/>
      <w:r w:rsidRPr="004B0C46">
        <w:t xml:space="preserve"> </w:t>
      </w:r>
      <w:hyperlink r:id="rId23">
        <w:r w:rsidRPr="004B0C46">
          <w:rPr>
            <w:rStyle w:val="Hyperlink"/>
          </w:rPr>
          <w:t>office@ocmokk.qld.gov.au</w:t>
        </w:r>
      </w:hyperlink>
    </w:p>
    <w:sectPr w:rsidR="009008CF" w:rsidRPr="004B0C46" w:rsidSect="00EA542D">
      <w:footerReference w:type="default" r:id="rId24"/>
      <w:pgSz w:w="11910" w:h="16840"/>
      <w:pgMar w:top="1134" w:right="1134" w:bottom="1134" w:left="1134" w:header="0" w:footer="0" w:gutter="0"/>
      <w:paperSrc w:first="7" w:other="7"/>
      <w:pgNumType w:start="7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436F" w14:textId="77777777" w:rsidR="00C2113A" w:rsidRDefault="00C2113A" w:rsidP="005F532D">
      <w:r>
        <w:separator/>
      </w:r>
    </w:p>
  </w:endnote>
  <w:endnote w:type="continuationSeparator" w:id="0">
    <w:p w14:paraId="3666E94A" w14:textId="77777777" w:rsidR="00C2113A" w:rsidRDefault="00C2113A" w:rsidP="005F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ric Regula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ric-RegularItalic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6662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2B531" w14:textId="664E4F5C" w:rsidR="00EA542D" w:rsidRDefault="00EA54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8F268" w14:textId="77777777" w:rsidR="00EA542D" w:rsidRDefault="00EA5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DAD5" w14:textId="77777777" w:rsidR="00C2113A" w:rsidRDefault="00C2113A" w:rsidP="005F532D">
      <w:r>
        <w:separator/>
      </w:r>
    </w:p>
  </w:footnote>
  <w:footnote w:type="continuationSeparator" w:id="0">
    <w:p w14:paraId="4F940BDC" w14:textId="77777777" w:rsidR="00C2113A" w:rsidRDefault="00C2113A" w:rsidP="005F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10"/>
    <w:multiLevelType w:val="hybridMultilevel"/>
    <w:tmpl w:val="DC2E8D72"/>
    <w:lvl w:ilvl="0" w:tplc="D98692B6">
      <w:numFmt w:val="bullet"/>
      <w:lvlText w:val="•"/>
      <w:lvlJc w:val="left"/>
      <w:pPr>
        <w:ind w:left="1864" w:hanging="284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1" w:tplc="F72AB59A">
      <w:numFmt w:val="bullet"/>
      <w:lvlText w:val="-"/>
      <w:lvlJc w:val="left"/>
      <w:pPr>
        <w:ind w:left="2016" w:hanging="153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2" w:tplc="8B3E5690">
      <w:numFmt w:val="bullet"/>
      <w:lvlText w:val="•"/>
      <w:lvlJc w:val="left"/>
      <w:pPr>
        <w:ind w:left="3105" w:hanging="153"/>
      </w:pPr>
      <w:rPr>
        <w:rFonts w:hint="default"/>
        <w:lang w:val="en-US" w:eastAsia="en-US" w:bidi="ar-SA"/>
      </w:rPr>
    </w:lvl>
    <w:lvl w:ilvl="3" w:tplc="45C88B0C">
      <w:numFmt w:val="bullet"/>
      <w:lvlText w:val="•"/>
      <w:lvlJc w:val="left"/>
      <w:pPr>
        <w:ind w:left="4190" w:hanging="153"/>
      </w:pPr>
      <w:rPr>
        <w:rFonts w:hint="default"/>
        <w:lang w:val="en-US" w:eastAsia="en-US" w:bidi="ar-SA"/>
      </w:rPr>
    </w:lvl>
    <w:lvl w:ilvl="4" w:tplc="CC542CA6">
      <w:numFmt w:val="bullet"/>
      <w:lvlText w:val="•"/>
      <w:lvlJc w:val="left"/>
      <w:pPr>
        <w:ind w:left="5275" w:hanging="153"/>
      </w:pPr>
      <w:rPr>
        <w:rFonts w:hint="default"/>
        <w:lang w:val="en-US" w:eastAsia="en-US" w:bidi="ar-SA"/>
      </w:rPr>
    </w:lvl>
    <w:lvl w:ilvl="5" w:tplc="2EBC6F58">
      <w:numFmt w:val="bullet"/>
      <w:lvlText w:val="•"/>
      <w:lvlJc w:val="left"/>
      <w:pPr>
        <w:ind w:left="6360" w:hanging="153"/>
      </w:pPr>
      <w:rPr>
        <w:rFonts w:hint="default"/>
        <w:lang w:val="en-US" w:eastAsia="en-US" w:bidi="ar-SA"/>
      </w:rPr>
    </w:lvl>
    <w:lvl w:ilvl="6" w:tplc="DB6E9672">
      <w:numFmt w:val="bullet"/>
      <w:lvlText w:val="•"/>
      <w:lvlJc w:val="left"/>
      <w:pPr>
        <w:ind w:left="7445" w:hanging="153"/>
      </w:pPr>
      <w:rPr>
        <w:rFonts w:hint="default"/>
        <w:lang w:val="en-US" w:eastAsia="en-US" w:bidi="ar-SA"/>
      </w:rPr>
    </w:lvl>
    <w:lvl w:ilvl="7" w:tplc="042EB664">
      <w:numFmt w:val="bullet"/>
      <w:lvlText w:val="•"/>
      <w:lvlJc w:val="left"/>
      <w:pPr>
        <w:ind w:left="8530" w:hanging="153"/>
      </w:pPr>
      <w:rPr>
        <w:rFonts w:hint="default"/>
        <w:lang w:val="en-US" w:eastAsia="en-US" w:bidi="ar-SA"/>
      </w:rPr>
    </w:lvl>
    <w:lvl w:ilvl="8" w:tplc="87F2B2CA">
      <w:numFmt w:val="bullet"/>
      <w:lvlText w:val="•"/>
      <w:lvlJc w:val="left"/>
      <w:pPr>
        <w:ind w:left="9615" w:hanging="153"/>
      </w:pPr>
      <w:rPr>
        <w:rFonts w:hint="default"/>
        <w:lang w:val="en-US" w:eastAsia="en-US" w:bidi="ar-SA"/>
      </w:rPr>
    </w:lvl>
  </w:abstractNum>
  <w:abstractNum w:abstractNumId="1" w15:restartNumberingAfterBreak="0">
    <w:nsid w:val="04E33AAF"/>
    <w:multiLevelType w:val="hybridMultilevel"/>
    <w:tmpl w:val="273A6178"/>
    <w:lvl w:ilvl="0" w:tplc="9CC83A32">
      <w:numFmt w:val="bullet"/>
      <w:lvlText w:val="•"/>
      <w:lvlJc w:val="left"/>
      <w:pPr>
        <w:ind w:left="2017" w:hanging="437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546"/>
    <w:multiLevelType w:val="hybridMultilevel"/>
    <w:tmpl w:val="36AE1E08"/>
    <w:lvl w:ilvl="0" w:tplc="89063C4E">
      <w:numFmt w:val="bullet"/>
      <w:lvlText w:val="•"/>
      <w:lvlJc w:val="left"/>
      <w:pPr>
        <w:ind w:left="622" w:hanging="284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1" w:tplc="E80EFD9C">
      <w:numFmt w:val="bullet"/>
      <w:lvlText w:val="•"/>
      <w:lvlJc w:val="left"/>
      <w:pPr>
        <w:ind w:left="1175" w:hanging="284"/>
      </w:pPr>
      <w:rPr>
        <w:rFonts w:hint="default"/>
        <w:lang w:val="en-US" w:eastAsia="en-US" w:bidi="ar-SA"/>
      </w:rPr>
    </w:lvl>
    <w:lvl w:ilvl="2" w:tplc="13AC1C2A">
      <w:numFmt w:val="bullet"/>
      <w:lvlText w:val="•"/>
      <w:lvlJc w:val="left"/>
      <w:pPr>
        <w:ind w:left="1730" w:hanging="284"/>
      </w:pPr>
      <w:rPr>
        <w:rFonts w:hint="default"/>
        <w:lang w:val="en-US" w:eastAsia="en-US" w:bidi="ar-SA"/>
      </w:rPr>
    </w:lvl>
    <w:lvl w:ilvl="3" w:tplc="C24C98B6">
      <w:numFmt w:val="bullet"/>
      <w:lvlText w:val="•"/>
      <w:lvlJc w:val="left"/>
      <w:pPr>
        <w:ind w:left="2285" w:hanging="284"/>
      </w:pPr>
      <w:rPr>
        <w:rFonts w:hint="default"/>
        <w:lang w:val="en-US" w:eastAsia="en-US" w:bidi="ar-SA"/>
      </w:rPr>
    </w:lvl>
    <w:lvl w:ilvl="4" w:tplc="F3C46962">
      <w:numFmt w:val="bullet"/>
      <w:lvlText w:val="•"/>
      <w:lvlJc w:val="left"/>
      <w:pPr>
        <w:ind w:left="2840" w:hanging="284"/>
      </w:pPr>
      <w:rPr>
        <w:rFonts w:hint="default"/>
        <w:lang w:val="en-US" w:eastAsia="en-US" w:bidi="ar-SA"/>
      </w:rPr>
    </w:lvl>
    <w:lvl w:ilvl="5" w:tplc="497A4A94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6" w:tplc="8A2050C2">
      <w:numFmt w:val="bullet"/>
      <w:lvlText w:val="•"/>
      <w:lvlJc w:val="left"/>
      <w:pPr>
        <w:ind w:left="3951" w:hanging="284"/>
      </w:pPr>
      <w:rPr>
        <w:rFonts w:hint="default"/>
        <w:lang w:val="en-US" w:eastAsia="en-US" w:bidi="ar-SA"/>
      </w:rPr>
    </w:lvl>
    <w:lvl w:ilvl="7" w:tplc="84FACF1A">
      <w:numFmt w:val="bullet"/>
      <w:lvlText w:val="•"/>
      <w:lvlJc w:val="left"/>
      <w:pPr>
        <w:ind w:left="4506" w:hanging="284"/>
      </w:pPr>
      <w:rPr>
        <w:rFonts w:hint="default"/>
        <w:lang w:val="en-US" w:eastAsia="en-US" w:bidi="ar-SA"/>
      </w:rPr>
    </w:lvl>
    <w:lvl w:ilvl="8" w:tplc="C10C704C">
      <w:numFmt w:val="bullet"/>
      <w:lvlText w:val="•"/>
      <w:lvlJc w:val="left"/>
      <w:pPr>
        <w:ind w:left="5061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1941F80"/>
    <w:multiLevelType w:val="hybridMultilevel"/>
    <w:tmpl w:val="417C83A4"/>
    <w:lvl w:ilvl="0" w:tplc="96583A9C">
      <w:numFmt w:val="bullet"/>
      <w:lvlText w:val="-"/>
      <w:lvlJc w:val="left"/>
      <w:pPr>
        <w:ind w:left="68" w:hanging="87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16"/>
        <w:szCs w:val="16"/>
        <w:lang w:val="en-US" w:eastAsia="en-US" w:bidi="ar-SA"/>
      </w:rPr>
    </w:lvl>
    <w:lvl w:ilvl="1" w:tplc="F00EEB4A">
      <w:numFmt w:val="bullet"/>
      <w:lvlText w:val="•"/>
      <w:lvlJc w:val="left"/>
      <w:pPr>
        <w:ind w:left="300" w:hanging="87"/>
      </w:pPr>
      <w:rPr>
        <w:rFonts w:hint="default"/>
        <w:lang w:val="en-US" w:eastAsia="en-US" w:bidi="ar-SA"/>
      </w:rPr>
    </w:lvl>
    <w:lvl w:ilvl="2" w:tplc="FE6E5126">
      <w:numFmt w:val="bullet"/>
      <w:lvlText w:val="•"/>
      <w:lvlJc w:val="left"/>
      <w:pPr>
        <w:ind w:left="540" w:hanging="87"/>
      </w:pPr>
      <w:rPr>
        <w:rFonts w:hint="default"/>
        <w:lang w:val="en-US" w:eastAsia="en-US" w:bidi="ar-SA"/>
      </w:rPr>
    </w:lvl>
    <w:lvl w:ilvl="3" w:tplc="891C7366">
      <w:numFmt w:val="bullet"/>
      <w:lvlText w:val="•"/>
      <w:lvlJc w:val="left"/>
      <w:pPr>
        <w:ind w:left="781" w:hanging="87"/>
      </w:pPr>
      <w:rPr>
        <w:rFonts w:hint="default"/>
        <w:lang w:val="en-US" w:eastAsia="en-US" w:bidi="ar-SA"/>
      </w:rPr>
    </w:lvl>
    <w:lvl w:ilvl="4" w:tplc="B436E992">
      <w:numFmt w:val="bullet"/>
      <w:lvlText w:val="•"/>
      <w:lvlJc w:val="left"/>
      <w:pPr>
        <w:ind w:left="1021" w:hanging="87"/>
      </w:pPr>
      <w:rPr>
        <w:rFonts w:hint="default"/>
        <w:lang w:val="en-US" w:eastAsia="en-US" w:bidi="ar-SA"/>
      </w:rPr>
    </w:lvl>
    <w:lvl w:ilvl="5" w:tplc="30022BA8">
      <w:numFmt w:val="bullet"/>
      <w:lvlText w:val="•"/>
      <w:lvlJc w:val="left"/>
      <w:pPr>
        <w:ind w:left="1262" w:hanging="87"/>
      </w:pPr>
      <w:rPr>
        <w:rFonts w:hint="default"/>
        <w:lang w:val="en-US" w:eastAsia="en-US" w:bidi="ar-SA"/>
      </w:rPr>
    </w:lvl>
    <w:lvl w:ilvl="6" w:tplc="56603CD6">
      <w:numFmt w:val="bullet"/>
      <w:lvlText w:val="•"/>
      <w:lvlJc w:val="left"/>
      <w:pPr>
        <w:ind w:left="1502" w:hanging="87"/>
      </w:pPr>
      <w:rPr>
        <w:rFonts w:hint="default"/>
        <w:lang w:val="en-US" w:eastAsia="en-US" w:bidi="ar-SA"/>
      </w:rPr>
    </w:lvl>
    <w:lvl w:ilvl="7" w:tplc="638C519C">
      <w:numFmt w:val="bullet"/>
      <w:lvlText w:val="•"/>
      <w:lvlJc w:val="left"/>
      <w:pPr>
        <w:ind w:left="1742" w:hanging="87"/>
      </w:pPr>
      <w:rPr>
        <w:rFonts w:hint="default"/>
        <w:lang w:val="en-US" w:eastAsia="en-US" w:bidi="ar-SA"/>
      </w:rPr>
    </w:lvl>
    <w:lvl w:ilvl="8" w:tplc="4C6650B4">
      <w:numFmt w:val="bullet"/>
      <w:lvlText w:val="•"/>
      <w:lvlJc w:val="left"/>
      <w:pPr>
        <w:ind w:left="1983" w:hanging="87"/>
      </w:pPr>
      <w:rPr>
        <w:rFonts w:hint="default"/>
        <w:lang w:val="en-US" w:eastAsia="en-US" w:bidi="ar-SA"/>
      </w:rPr>
    </w:lvl>
  </w:abstractNum>
  <w:abstractNum w:abstractNumId="4" w15:restartNumberingAfterBreak="0">
    <w:nsid w:val="12F6201F"/>
    <w:multiLevelType w:val="hybridMultilevel"/>
    <w:tmpl w:val="2036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408"/>
    <w:multiLevelType w:val="hybridMultilevel"/>
    <w:tmpl w:val="1DBE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682E"/>
    <w:multiLevelType w:val="hybridMultilevel"/>
    <w:tmpl w:val="D0920E4C"/>
    <w:lvl w:ilvl="0" w:tplc="9CC83A32">
      <w:numFmt w:val="bullet"/>
      <w:lvlText w:val="•"/>
      <w:lvlJc w:val="left"/>
      <w:pPr>
        <w:ind w:left="2017" w:hanging="437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F02C5"/>
    <w:multiLevelType w:val="hybridMultilevel"/>
    <w:tmpl w:val="520E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939B0"/>
    <w:multiLevelType w:val="hybridMultilevel"/>
    <w:tmpl w:val="A4BA0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65C"/>
    <w:multiLevelType w:val="hybridMultilevel"/>
    <w:tmpl w:val="91341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36E27"/>
    <w:multiLevelType w:val="hybridMultilevel"/>
    <w:tmpl w:val="17CEC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0E0C"/>
    <w:multiLevelType w:val="hybridMultilevel"/>
    <w:tmpl w:val="3C469726"/>
    <w:lvl w:ilvl="0" w:tplc="01A46194">
      <w:numFmt w:val="bullet"/>
      <w:lvlText w:val="•"/>
      <w:lvlJc w:val="left"/>
      <w:pPr>
        <w:ind w:left="1580" w:hanging="284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1" w:tplc="C11E4D68">
      <w:numFmt w:val="bullet"/>
      <w:lvlText w:val="-"/>
      <w:lvlJc w:val="left"/>
      <w:pPr>
        <w:ind w:left="1689" w:hanging="109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2" w:tplc="F2C07198">
      <w:numFmt w:val="bullet"/>
      <w:lvlText w:val="•"/>
      <w:lvlJc w:val="left"/>
      <w:pPr>
        <w:ind w:left="2802" w:hanging="109"/>
      </w:pPr>
      <w:rPr>
        <w:rFonts w:hint="default"/>
        <w:lang w:val="en-US" w:eastAsia="en-US" w:bidi="ar-SA"/>
      </w:rPr>
    </w:lvl>
    <w:lvl w:ilvl="3" w:tplc="590221D8">
      <w:numFmt w:val="bullet"/>
      <w:lvlText w:val="•"/>
      <w:lvlJc w:val="left"/>
      <w:pPr>
        <w:ind w:left="3925" w:hanging="109"/>
      </w:pPr>
      <w:rPr>
        <w:rFonts w:hint="default"/>
        <w:lang w:val="en-US" w:eastAsia="en-US" w:bidi="ar-SA"/>
      </w:rPr>
    </w:lvl>
    <w:lvl w:ilvl="4" w:tplc="A2AC3848">
      <w:numFmt w:val="bullet"/>
      <w:lvlText w:val="•"/>
      <w:lvlJc w:val="left"/>
      <w:pPr>
        <w:ind w:left="5048" w:hanging="109"/>
      </w:pPr>
      <w:rPr>
        <w:rFonts w:hint="default"/>
        <w:lang w:val="en-US" w:eastAsia="en-US" w:bidi="ar-SA"/>
      </w:rPr>
    </w:lvl>
    <w:lvl w:ilvl="5" w:tplc="7BA61B58">
      <w:numFmt w:val="bullet"/>
      <w:lvlText w:val="•"/>
      <w:lvlJc w:val="left"/>
      <w:pPr>
        <w:ind w:left="6171" w:hanging="109"/>
      </w:pPr>
      <w:rPr>
        <w:rFonts w:hint="default"/>
        <w:lang w:val="en-US" w:eastAsia="en-US" w:bidi="ar-SA"/>
      </w:rPr>
    </w:lvl>
    <w:lvl w:ilvl="6" w:tplc="7BB660F0">
      <w:numFmt w:val="bullet"/>
      <w:lvlText w:val="•"/>
      <w:lvlJc w:val="left"/>
      <w:pPr>
        <w:ind w:left="7294" w:hanging="109"/>
      </w:pPr>
      <w:rPr>
        <w:rFonts w:hint="default"/>
        <w:lang w:val="en-US" w:eastAsia="en-US" w:bidi="ar-SA"/>
      </w:rPr>
    </w:lvl>
    <w:lvl w:ilvl="7" w:tplc="435A494E">
      <w:numFmt w:val="bullet"/>
      <w:lvlText w:val="•"/>
      <w:lvlJc w:val="left"/>
      <w:pPr>
        <w:ind w:left="8417" w:hanging="109"/>
      </w:pPr>
      <w:rPr>
        <w:rFonts w:hint="default"/>
        <w:lang w:val="en-US" w:eastAsia="en-US" w:bidi="ar-SA"/>
      </w:rPr>
    </w:lvl>
    <w:lvl w:ilvl="8" w:tplc="A88C7248">
      <w:numFmt w:val="bullet"/>
      <w:lvlText w:val="•"/>
      <w:lvlJc w:val="left"/>
      <w:pPr>
        <w:ind w:left="9539" w:hanging="109"/>
      </w:pPr>
      <w:rPr>
        <w:rFonts w:hint="default"/>
        <w:lang w:val="en-US" w:eastAsia="en-US" w:bidi="ar-SA"/>
      </w:rPr>
    </w:lvl>
  </w:abstractNum>
  <w:abstractNum w:abstractNumId="12" w15:restartNumberingAfterBreak="0">
    <w:nsid w:val="512D687E"/>
    <w:multiLevelType w:val="hybridMultilevel"/>
    <w:tmpl w:val="FFD2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F070F"/>
    <w:multiLevelType w:val="hybridMultilevel"/>
    <w:tmpl w:val="01487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44165"/>
    <w:multiLevelType w:val="hybridMultilevel"/>
    <w:tmpl w:val="F6FCE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C524E"/>
    <w:multiLevelType w:val="hybridMultilevel"/>
    <w:tmpl w:val="FE14C870"/>
    <w:lvl w:ilvl="0" w:tplc="01A0D9FC">
      <w:numFmt w:val="bullet"/>
      <w:pStyle w:val="ListParagraph"/>
      <w:lvlText w:val="•"/>
      <w:lvlJc w:val="left"/>
      <w:pPr>
        <w:ind w:left="2017" w:hanging="437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30FAC"/>
    <w:multiLevelType w:val="hybridMultilevel"/>
    <w:tmpl w:val="FB92BC5E"/>
    <w:lvl w:ilvl="0" w:tplc="F3BE64CA">
      <w:numFmt w:val="bullet"/>
      <w:lvlText w:val="-"/>
      <w:lvlJc w:val="left"/>
      <w:pPr>
        <w:ind w:left="67" w:hanging="87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16"/>
        <w:szCs w:val="16"/>
        <w:lang w:val="en-US" w:eastAsia="en-US" w:bidi="ar-SA"/>
      </w:rPr>
    </w:lvl>
    <w:lvl w:ilvl="1" w:tplc="F53EDB06">
      <w:numFmt w:val="bullet"/>
      <w:lvlText w:val="•"/>
      <w:lvlJc w:val="left"/>
      <w:pPr>
        <w:ind w:left="300" w:hanging="87"/>
      </w:pPr>
      <w:rPr>
        <w:rFonts w:hint="default"/>
        <w:lang w:val="en-US" w:eastAsia="en-US" w:bidi="ar-SA"/>
      </w:rPr>
    </w:lvl>
    <w:lvl w:ilvl="2" w:tplc="EDBE2290">
      <w:numFmt w:val="bullet"/>
      <w:lvlText w:val="•"/>
      <w:lvlJc w:val="left"/>
      <w:pPr>
        <w:ind w:left="540" w:hanging="87"/>
      </w:pPr>
      <w:rPr>
        <w:rFonts w:hint="default"/>
        <w:lang w:val="en-US" w:eastAsia="en-US" w:bidi="ar-SA"/>
      </w:rPr>
    </w:lvl>
    <w:lvl w:ilvl="3" w:tplc="73EEDD74">
      <w:numFmt w:val="bullet"/>
      <w:lvlText w:val="•"/>
      <w:lvlJc w:val="left"/>
      <w:pPr>
        <w:ind w:left="781" w:hanging="87"/>
      </w:pPr>
      <w:rPr>
        <w:rFonts w:hint="default"/>
        <w:lang w:val="en-US" w:eastAsia="en-US" w:bidi="ar-SA"/>
      </w:rPr>
    </w:lvl>
    <w:lvl w:ilvl="4" w:tplc="6534F378">
      <w:numFmt w:val="bullet"/>
      <w:lvlText w:val="•"/>
      <w:lvlJc w:val="left"/>
      <w:pPr>
        <w:ind w:left="1021" w:hanging="87"/>
      </w:pPr>
      <w:rPr>
        <w:rFonts w:hint="default"/>
        <w:lang w:val="en-US" w:eastAsia="en-US" w:bidi="ar-SA"/>
      </w:rPr>
    </w:lvl>
    <w:lvl w:ilvl="5" w:tplc="F3B02C00">
      <w:numFmt w:val="bullet"/>
      <w:lvlText w:val="•"/>
      <w:lvlJc w:val="left"/>
      <w:pPr>
        <w:ind w:left="1262" w:hanging="87"/>
      </w:pPr>
      <w:rPr>
        <w:rFonts w:hint="default"/>
        <w:lang w:val="en-US" w:eastAsia="en-US" w:bidi="ar-SA"/>
      </w:rPr>
    </w:lvl>
    <w:lvl w:ilvl="6" w:tplc="74A2EC44">
      <w:numFmt w:val="bullet"/>
      <w:lvlText w:val="•"/>
      <w:lvlJc w:val="left"/>
      <w:pPr>
        <w:ind w:left="1502" w:hanging="87"/>
      </w:pPr>
      <w:rPr>
        <w:rFonts w:hint="default"/>
        <w:lang w:val="en-US" w:eastAsia="en-US" w:bidi="ar-SA"/>
      </w:rPr>
    </w:lvl>
    <w:lvl w:ilvl="7" w:tplc="89CAA63A">
      <w:numFmt w:val="bullet"/>
      <w:lvlText w:val="•"/>
      <w:lvlJc w:val="left"/>
      <w:pPr>
        <w:ind w:left="1742" w:hanging="87"/>
      </w:pPr>
      <w:rPr>
        <w:rFonts w:hint="default"/>
        <w:lang w:val="en-US" w:eastAsia="en-US" w:bidi="ar-SA"/>
      </w:rPr>
    </w:lvl>
    <w:lvl w:ilvl="8" w:tplc="823260CE">
      <w:numFmt w:val="bullet"/>
      <w:lvlText w:val="•"/>
      <w:lvlJc w:val="left"/>
      <w:pPr>
        <w:ind w:left="1983" w:hanging="87"/>
      </w:pPr>
      <w:rPr>
        <w:rFonts w:hint="default"/>
        <w:lang w:val="en-US" w:eastAsia="en-US" w:bidi="ar-SA"/>
      </w:rPr>
    </w:lvl>
  </w:abstractNum>
  <w:abstractNum w:abstractNumId="17" w15:restartNumberingAfterBreak="0">
    <w:nsid w:val="76211947"/>
    <w:multiLevelType w:val="hybridMultilevel"/>
    <w:tmpl w:val="D820DCCE"/>
    <w:lvl w:ilvl="0" w:tplc="845ADD3A">
      <w:start w:val="4"/>
      <w:numFmt w:val="decimalZero"/>
      <w:lvlText w:val="%1"/>
      <w:lvlJc w:val="left"/>
      <w:pPr>
        <w:ind w:left="3168" w:hanging="3062"/>
      </w:pPr>
      <w:rPr>
        <w:rFonts w:ascii="Metric Regular" w:eastAsia="Metric Regular" w:hAnsi="Metric Regular" w:cs="Metric Regular" w:hint="default"/>
        <w:b/>
        <w:bCs/>
        <w:i w:val="0"/>
        <w:iCs w:val="0"/>
        <w:color w:val="FFFFFF"/>
        <w:spacing w:val="-37"/>
        <w:w w:val="99"/>
        <w:position w:val="-7"/>
        <w:sz w:val="230"/>
        <w:szCs w:val="230"/>
        <w:lang w:val="en-US" w:eastAsia="en-US" w:bidi="ar-SA"/>
      </w:rPr>
    </w:lvl>
    <w:lvl w:ilvl="1" w:tplc="9D38D556">
      <w:numFmt w:val="bullet"/>
      <w:lvlText w:val="•"/>
      <w:lvlJc w:val="left"/>
      <w:pPr>
        <w:ind w:left="2017" w:hanging="437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2" w:tplc="D45C6D86">
      <w:numFmt w:val="bullet"/>
      <w:lvlText w:val="•"/>
      <w:lvlJc w:val="left"/>
      <w:pPr>
        <w:ind w:left="4118" w:hanging="437"/>
      </w:pPr>
      <w:rPr>
        <w:rFonts w:hint="default"/>
        <w:lang w:val="en-US" w:eastAsia="en-US" w:bidi="ar-SA"/>
      </w:rPr>
    </w:lvl>
    <w:lvl w:ilvl="3" w:tplc="2B885898">
      <w:numFmt w:val="bullet"/>
      <w:lvlText w:val="•"/>
      <w:lvlJc w:val="left"/>
      <w:pPr>
        <w:ind w:left="5076" w:hanging="437"/>
      </w:pPr>
      <w:rPr>
        <w:rFonts w:hint="default"/>
        <w:lang w:val="en-US" w:eastAsia="en-US" w:bidi="ar-SA"/>
      </w:rPr>
    </w:lvl>
    <w:lvl w:ilvl="4" w:tplc="297E1D38">
      <w:numFmt w:val="bullet"/>
      <w:lvlText w:val="•"/>
      <w:lvlJc w:val="left"/>
      <w:pPr>
        <w:ind w:left="6035" w:hanging="437"/>
      </w:pPr>
      <w:rPr>
        <w:rFonts w:hint="default"/>
        <w:lang w:val="en-US" w:eastAsia="en-US" w:bidi="ar-SA"/>
      </w:rPr>
    </w:lvl>
    <w:lvl w:ilvl="5" w:tplc="61DA5E9C">
      <w:numFmt w:val="bullet"/>
      <w:lvlText w:val="•"/>
      <w:lvlJc w:val="left"/>
      <w:pPr>
        <w:ind w:left="6993" w:hanging="437"/>
      </w:pPr>
      <w:rPr>
        <w:rFonts w:hint="default"/>
        <w:lang w:val="en-US" w:eastAsia="en-US" w:bidi="ar-SA"/>
      </w:rPr>
    </w:lvl>
    <w:lvl w:ilvl="6" w:tplc="F968CF36">
      <w:numFmt w:val="bullet"/>
      <w:lvlText w:val="•"/>
      <w:lvlJc w:val="left"/>
      <w:pPr>
        <w:ind w:left="7951" w:hanging="437"/>
      </w:pPr>
      <w:rPr>
        <w:rFonts w:hint="default"/>
        <w:lang w:val="en-US" w:eastAsia="en-US" w:bidi="ar-SA"/>
      </w:rPr>
    </w:lvl>
    <w:lvl w:ilvl="7" w:tplc="FA6A594C">
      <w:numFmt w:val="bullet"/>
      <w:lvlText w:val="•"/>
      <w:lvlJc w:val="left"/>
      <w:pPr>
        <w:ind w:left="8910" w:hanging="437"/>
      </w:pPr>
      <w:rPr>
        <w:rFonts w:hint="default"/>
        <w:lang w:val="en-US" w:eastAsia="en-US" w:bidi="ar-SA"/>
      </w:rPr>
    </w:lvl>
    <w:lvl w:ilvl="8" w:tplc="186E9BC0">
      <w:numFmt w:val="bullet"/>
      <w:lvlText w:val="•"/>
      <w:lvlJc w:val="left"/>
      <w:pPr>
        <w:ind w:left="9868" w:hanging="437"/>
      </w:pPr>
      <w:rPr>
        <w:rFonts w:hint="default"/>
        <w:lang w:val="en-US" w:eastAsia="en-US" w:bidi="ar-SA"/>
      </w:rPr>
    </w:lvl>
  </w:abstractNum>
  <w:abstractNum w:abstractNumId="18" w15:restartNumberingAfterBreak="0">
    <w:nsid w:val="78551C57"/>
    <w:multiLevelType w:val="hybridMultilevel"/>
    <w:tmpl w:val="C55AB3EC"/>
    <w:lvl w:ilvl="0" w:tplc="ED3A91E6">
      <w:numFmt w:val="bullet"/>
      <w:lvlText w:val="-"/>
      <w:lvlJc w:val="left"/>
      <w:pPr>
        <w:ind w:left="68" w:hanging="87"/>
      </w:pPr>
      <w:rPr>
        <w:rFonts w:ascii="Metric Regular" w:eastAsia="Metric Regular" w:hAnsi="Metric Regular" w:cs="Metric Regular" w:hint="default"/>
        <w:b w:val="0"/>
        <w:bCs w:val="0"/>
        <w:i w:val="0"/>
        <w:iCs w:val="0"/>
        <w:color w:val="58595B"/>
        <w:w w:val="100"/>
        <w:sz w:val="16"/>
        <w:szCs w:val="16"/>
        <w:lang w:val="en-US" w:eastAsia="en-US" w:bidi="ar-SA"/>
      </w:rPr>
    </w:lvl>
    <w:lvl w:ilvl="1" w:tplc="9346520A">
      <w:numFmt w:val="bullet"/>
      <w:lvlText w:val="•"/>
      <w:lvlJc w:val="left"/>
      <w:pPr>
        <w:ind w:left="300" w:hanging="87"/>
      </w:pPr>
      <w:rPr>
        <w:rFonts w:hint="default"/>
        <w:lang w:val="en-US" w:eastAsia="en-US" w:bidi="ar-SA"/>
      </w:rPr>
    </w:lvl>
    <w:lvl w:ilvl="2" w:tplc="ABEC2984">
      <w:numFmt w:val="bullet"/>
      <w:lvlText w:val="•"/>
      <w:lvlJc w:val="left"/>
      <w:pPr>
        <w:ind w:left="540" w:hanging="87"/>
      </w:pPr>
      <w:rPr>
        <w:rFonts w:hint="default"/>
        <w:lang w:val="en-US" w:eastAsia="en-US" w:bidi="ar-SA"/>
      </w:rPr>
    </w:lvl>
    <w:lvl w:ilvl="3" w:tplc="2CFABA92">
      <w:numFmt w:val="bullet"/>
      <w:lvlText w:val="•"/>
      <w:lvlJc w:val="left"/>
      <w:pPr>
        <w:ind w:left="781" w:hanging="87"/>
      </w:pPr>
      <w:rPr>
        <w:rFonts w:hint="default"/>
        <w:lang w:val="en-US" w:eastAsia="en-US" w:bidi="ar-SA"/>
      </w:rPr>
    </w:lvl>
    <w:lvl w:ilvl="4" w:tplc="EA323C96">
      <w:numFmt w:val="bullet"/>
      <w:lvlText w:val="•"/>
      <w:lvlJc w:val="left"/>
      <w:pPr>
        <w:ind w:left="1021" w:hanging="87"/>
      </w:pPr>
      <w:rPr>
        <w:rFonts w:hint="default"/>
        <w:lang w:val="en-US" w:eastAsia="en-US" w:bidi="ar-SA"/>
      </w:rPr>
    </w:lvl>
    <w:lvl w:ilvl="5" w:tplc="C7A228CA">
      <w:numFmt w:val="bullet"/>
      <w:lvlText w:val="•"/>
      <w:lvlJc w:val="left"/>
      <w:pPr>
        <w:ind w:left="1262" w:hanging="87"/>
      </w:pPr>
      <w:rPr>
        <w:rFonts w:hint="default"/>
        <w:lang w:val="en-US" w:eastAsia="en-US" w:bidi="ar-SA"/>
      </w:rPr>
    </w:lvl>
    <w:lvl w:ilvl="6" w:tplc="3CFAB11E">
      <w:numFmt w:val="bullet"/>
      <w:lvlText w:val="•"/>
      <w:lvlJc w:val="left"/>
      <w:pPr>
        <w:ind w:left="1502" w:hanging="87"/>
      </w:pPr>
      <w:rPr>
        <w:rFonts w:hint="default"/>
        <w:lang w:val="en-US" w:eastAsia="en-US" w:bidi="ar-SA"/>
      </w:rPr>
    </w:lvl>
    <w:lvl w:ilvl="7" w:tplc="4EA6A084">
      <w:numFmt w:val="bullet"/>
      <w:lvlText w:val="•"/>
      <w:lvlJc w:val="left"/>
      <w:pPr>
        <w:ind w:left="1742" w:hanging="87"/>
      </w:pPr>
      <w:rPr>
        <w:rFonts w:hint="default"/>
        <w:lang w:val="en-US" w:eastAsia="en-US" w:bidi="ar-SA"/>
      </w:rPr>
    </w:lvl>
    <w:lvl w:ilvl="8" w:tplc="53CC2052">
      <w:numFmt w:val="bullet"/>
      <w:lvlText w:val="•"/>
      <w:lvlJc w:val="left"/>
      <w:pPr>
        <w:ind w:left="1983" w:hanging="87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8"/>
  </w:num>
  <w:num w:numId="5">
    <w:abstractNumId w:val="3"/>
  </w:num>
  <w:num w:numId="6">
    <w:abstractNumId w:val="0"/>
  </w:num>
  <w:num w:numId="7">
    <w:abstractNumId w:val="17"/>
  </w:num>
  <w:num w:numId="8">
    <w:abstractNumId w:val="9"/>
  </w:num>
  <w:num w:numId="9">
    <w:abstractNumId w:val="10"/>
  </w:num>
  <w:num w:numId="10">
    <w:abstractNumId w:val="13"/>
  </w:num>
  <w:num w:numId="11">
    <w:abstractNumId w:val="8"/>
  </w:num>
  <w:num w:numId="12">
    <w:abstractNumId w:val="14"/>
  </w:num>
  <w:num w:numId="13">
    <w:abstractNumId w:val="4"/>
  </w:num>
  <w:num w:numId="14">
    <w:abstractNumId w:val="7"/>
  </w:num>
  <w:num w:numId="15">
    <w:abstractNumId w:val="5"/>
  </w:num>
  <w:num w:numId="16">
    <w:abstractNumId w:val="12"/>
  </w:num>
  <w:num w:numId="17">
    <w:abstractNumId w:val="6"/>
  </w:num>
  <w:num w:numId="18">
    <w:abstractNumId w:val="1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CF"/>
    <w:rsid w:val="00032BD8"/>
    <w:rsid w:val="00062B89"/>
    <w:rsid w:val="00091DA1"/>
    <w:rsid w:val="0009725F"/>
    <w:rsid w:val="000C30B5"/>
    <w:rsid w:val="00112713"/>
    <w:rsid w:val="00113B04"/>
    <w:rsid w:val="00116D08"/>
    <w:rsid w:val="0014608F"/>
    <w:rsid w:val="00156A4E"/>
    <w:rsid w:val="00177027"/>
    <w:rsid w:val="001C46EB"/>
    <w:rsid w:val="001F6E23"/>
    <w:rsid w:val="00200371"/>
    <w:rsid w:val="00257874"/>
    <w:rsid w:val="002600EC"/>
    <w:rsid w:val="00261D1A"/>
    <w:rsid w:val="0026404C"/>
    <w:rsid w:val="00280844"/>
    <w:rsid w:val="002A5501"/>
    <w:rsid w:val="002C4D32"/>
    <w:rsid w:val="002C6E08"/>
    <w:rsid w:val="002D3792"/>
    <w:rsid w:val="002D3C4B"/>
    <w:rsid w:val="002E5931"/>
    <w:rsid w:val="00310676"/>
    <w:rsid w:val="003326E3"/>
    <w:rsid w:val="00354839"/>
    <w:rsid w:val="00355565"/>
    <w:rsid w:val="0037554F"/>
    <w:rsid w:val="003868F1"/>
    <w:rsid w:val="00386D63"/>
    <w:rsid w:val="003E0431"/>
    <w:rsid w:val="003E623D"/>
    <w:rsid w:val="0041740A"/>
    <w:rsid w:val="00426634"/>
    <w:rsid w:val="00431479"/>
    <w:rsid w:val="004449A2"/>
    <w:rsid w:val="00451E4C"/>
    <w:rsid w:val="00486508"/>
    <w:rsid w:val="004B0C46"/>
    <w:rsid w:val="004B6CD6"/>
    <w:rsid w:val="004C7DF1"/>
    <w:rsid w:val="005058A8"/>
    <w:rsid w:val="00506940"/>
    <w:rsid w:val="005502AB"/>
    <w:rsid w:val="00563BA0"/>
    <w:rsid w:val="005651F0"/>
    <w:rsid w:val="0057505C"/>
    <w:rsid w:val="005802BE"/>
    <w:rsid w:val="00583F74"/>
    <w:rsid w:val="00584DD2"/>
    <w:rsid w:val="00595183"/>
    <w:rsid w:val="005C3849"/>
    <w:rsid w:val="005D6B85"/>
    <w:rsid w:val="005F532D"/>
    <w:rsid w:val="0061275E"/>
    <w:rsid w:val="0062781C"/>
    <w:rsid w:val="0067099F"/>
    <w:rsid w:val="006B0EAB"/>
    <w:rsid w:val="006B4BAD"/>
    <w:rsid w:val="006E0BC9"/>
    <w:rsid w:val="007602F5"/>
    <w:rsid w:val="007746CA"/>
    <w:rsid w:val="0077481C"/>
    <w:rsid w:val="00786EF0"/>
    <w:rsid w:val="007929E3"/>
    <w:rsid w:val="007B1744"/>
    <w:rsid w:val="007E53AA"/>
    <w:rsid w:val="007F510C"/>
    <w:rsid w:val="007F63AE"/>
    <w:rsid w:val="00815547"/>
    <w:rsid w:val="00841DD4"/>
    <w:rsid w:val="00845AB9"/>
    <w:rsid w:val="00871661"/>
    <w:rsid w:val="00885246"/>
    <w:rsid w:val="00896DAA"/>
    <w:rsid w:val="008B42E2"/>
    <w:rsid w:val="008B65F5"/>
    <w:rsid w:val="008C4B42"/>
    <w:rsid w:val="008D69A7"/>
    <w:rsid w:val="008E672F"/>
    <w:rsid w:val="009008CF"/>
    <w:rsid w:val="00900E7E"/>
    <w:rsid w:val="00927FA3"/>
    <w:rsid w:val="009336E4"/>
    <w:rsid w:val="00966E2F"/>
    <w:rsid w:val="00970645"/>
    <w:rsid w:val="009711CC"/>
    <w:rsid w:val="00996754"/>
    <w:rsid w:val="009C58F1"/>
    <w:rsid w:val="00A05FD8"/>
    <w:rsid w:val="00A06763"/>
    <w:rsid w:val="00A115E0"/>
    <w:rsid w:val="00A11E89"/>
    <w:rsid w:val="00A36778"/>
    <w:rsid w:val="00A50FE7"/>
    <w:rsid w:val="00A55CBA"/>
    <w:rsid w:val="00A56F70"/>
    <w:rsid w:val="00AA0017"/>
    <w:rsid w:val="00AA2528"/>
    <w:rsid w:val="00AC3442"/>
    <w:rsid w:val="00AF6289"/>
    <w:rsid w:val="00B30639"/>
    <w:rsid w:val="00B460B3"/>
    <w:rsid w:val="00B51CFA"/>
    <w:rsid w:val="00B973BF"/>
    <w:rsid w:val="00BC3B72"/>
    <w:rsid w:val="00BF693D"/>
    <w:rsid w:val="00C14E09"/>
    <w:rsid w:val="00C2113A"/>
    <w:rsid w:val="00C34F12"/>
    <w:rsid w:val="00C53280"/>
    <w:rsid w:val="00C608C5"/>
    <w:rsid w:val="00CA3F7B"/>
    <w:rsid w:val="00CC0073"/>
    <w:rsid w:val="00D048D1"/>
    <w:rsid w:val="00D92DE7"/>
    <w:rsid w:val="00D967F4"/>
    <w:rsid w:val="00DC09E2"/>
    <w:rsid w:val="00E315F4"/>
    <w:rsid w:val="00EA542D"/>
    <w:rsid w:val="00EA6648"/>
    <w:rsid w:val="00EB2069"/>
    <w:rsid w:val="00EC0AA6"/>
    <w:rsid w:val="00EC36F2"/>
    <w:rsid w:val="00ED7959"/>
    <w:rsid w:val="00EE3C73"/>
    <w:rsid w:val="00F0310A"/>
    <w:rsid w:val="00F10B0B"/>
    <w:rsid w:val="00F24288"/>
    <w:rsid w:val="00F2465A"/>
    <w:rsid w:val="00F740AF"/>
    <w:rsid w:val="00FD5D21"/>
    <w:rsid w:val="00FE1F0F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4A139"/>
  <w15:docId w15:val="{AC8AC08F-F9BA-B14E-A0A3-EF584CB1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2D"/>
    <w:pPr>
      <w:widowControl/>
      <w:autoSpaceDE/>
      <w:autoSpaceDN/>
      <w:spacing w:before="120" w:after="120" w:line="276" w:lineRule="auto"/>
    </w:pPr>
    <w:rPr>
      <w:rFonts w:ascii="Arial" w:hAnsi="Arial" w:cs="Arial"/>
      <w:lang w:val="en-AU"/>
    </w:rPr>
  </w:style>
  <w:style w:type="paragraph" w:styleId="Heading1">
    <w:name w:val="heading 1"/>
    <w:basedOn w:val="Normal"/>
    <w:uiPriority w:val="9"/>
    <w:qFormat/>
    <w:rsid w:val="00EB2069"/>
    <w:pPr>
      <w:outlineLvl w:val="0"/>
    </w:pPr>
    <w:rPr>
      <w:b/>
      <w:color w:val="000000" w:themeColor="text1"/>
      <w:position w:val="-1"/>
      <w:sz w:val="50"/>
      <w:szCs w:val="50"/>
    </w:rPr>
  </w:style>
  <w:style w:type="paragraph" w:styleId="Heading2">
    <w:name w:val="heading 2"/>
    <w:basedOn w:val="Heading3"/>
    <w:uiPriority w:val="9"/>
    <w:unhideWhenUsed/>
    <w:qFormat/>
    <w:rsid w:val="00871661"/>
    <w:pPr>
      <w:spacing w:before="0" w:line="591" w:lineRule="exact"/>
      <w:outlineLvl w:val="1"/>
    </w:pPr>
    <w:rPr>
      <w:color w:val="000000" w:themeColor="text1"/>
      <w:sz w:val="40"/>
      <w:szCs w:val="40"/>
    </w:rPr>
  </w:style>
  <w:style w:type="paragraph" w:styleId="Heading3">
    <w:name w:val="heading 3"/>
    <w:basedOn w:val="Normal"/>
    <w:uiPriority w:val="9"/>
    <w:unhideWhenUsed/>
    <w:qFormat/>
    <w:rsid w:val="00F0310A"/>
    <w:pPr>
      <w:spacing w:before="240"/>
      <w:outlineLvl w:val="2"/>
    </w:pPr>
    <w:rPr>
      <w:b/>
      <w:bCs/>
      <w:color w:val="1F497D" w:themeColor="text2"/>
      <w:spacing w:val="-2"/>
      <w:sz w:val="32"/>
      <w:szCs w:val="32"/>
    </w:rPr>
  </w:style>
  <w:style w:type="paragraph" w:styleId="Heading4">
    <w:name w:val="heading 4"/>
    <w:basedOn w:val="Normal"/>
    <w:uiPriority w:val="9"/>
    <w:unhideWhenUsed/>
    <w:qFormat/>
    <w:rsid w:val="00EC0AA6"/>
    <w:pPr>
      <w:spacing w:before="240"/>
      <w:ind w:right="714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rsid w:val="00EC0AA6"/>
    <w:pPr>
      <w:spacing w:before="240"/>
      <w:outlineLvl w:val="4"/>
    </w:pPr>
    <w:rPr>
      <w:b/>
      <w:bCs/>
      <w:color w:val="1F497D" w:themeColor="text2"/>
    </w:rPr>
  </w:style>
  <w:style w:type="paragraph" w:styleId="Heading6">
    <w:name w:val="heading 6"/>
    <w:basedOn w:val="Normal"/>
    <w:uiPriority w:val="9"/>
    <w:unhideWhenUsed/>
    <w:qFormat/>
    <w:rsid w:val="00B30639"/>
    <w:pPr>
      <w:outlineLvl w:val="5"/>
    </w:pPr>
    <w:rPr>
      <w:b/>
      <w:bCs/>
      <w:sz w:val="44"/>
      <w:szCs w:val="44"/>
    </w:rPr>
  </w:style>
  <w:style w:type="paragraph" w:styleId="Heading7">
    <w:name w:val="heading 7"/>
    <w:basedOn w:val="Normal"/>
    <w:uiPriority w:val="1"/>
    <w:qFormat/>
    <w:pPr>
      <w:outlineLvl w:val="6"/>
    </w:pPr>
    <w:rPr>
      <w:sz w:val="24"/>
      <w:szCs w:val="24"/>
    </w:rPr>
  </w:style>
  <w:style w:type="paragraph" w:styleId="Heading8">
    <w:name w:val="heading 8"/>
    <w:basedOn w:val="Normal"/>
    <w:uiPriority w:val="1"/>
    <w:qFormat/>
    <w:pPr>
      <w:ind w:left="544"/>
      <w:jc w:val="center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uiPriority w:val="1"/>
    <w:qFormat/>
    <w:rsid w:val="007B1744"/>
    <w:pPr>
      <w:ind w:left="567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5183"/>
    <w:pPr>
      <w:spacing w:after="240" w:line="300" w:lineRule="auto"/>
      <w:ind w:left="1298" w:right="1418"/>
    </w:pPr>
    <w:rPr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1"/>
    <w:qFormat/>
    <w:rsid w:val="00BF693D"/>
    <w:pPr>
      <w:numPr>
        <w:numId w:val="19"/>
      </w:numPr>
      <w:ind w:left="567"/>
    </w:pPr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paragraph" w:styleId="Header">
    <w:name w:val="header"/>
    <w:basedOn w:val="Normal"/>
    <w:link w:val="HeaderChar"/>
    <w:uiPriority w:val="99"/>
    <w:unhideWhenUsed/>
    <w:rsid w:val="008E6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72F"/>
    <w:rPr>
      <w:rFonts w:ascii="Metric Regular" w:eastAsia="Metric Regular" w:hAnsi="Metric Regular" w:cs="Metric Regular"/>
    </w:rPr>
  </w:style>
  <w:style w:type="paragraph" w:styleId="Footer">
    <w:name w:val="footer"/>
    <w:basedOn w:val="Normal"/>
    <w:link w:val="FooterChar"/>
    <w:uiPriority w:val="99"/>
    <w:unhideWhenUsed/>
    <w:rsid w:val="008E6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72F"/>
    <w:rPr>
      <w:rFonts w:ascii="Metric Regular" w:eastAsia="Metric Regular" w:hAnsi="Metric Regular" w:cs="Metric Regular"/>
    </w:rPr>
  </w:style>
  <w:style w:type="character" w:customStyle="1" w:styleId="BodyTextChar">
    <w:name w:val="Body Text Char"/>
    <w:basedOn w:val="DefaultParagraphFont"/>
    <w:link w:val="BodyText"/>
    <w:uiPriority w:val="1"/>
    <w:rsid w:val="00595183"/>
    <w:rPr>
      <w:rFonts w:ascii="Arial" w:eastAsia="Metric Regular" w:hAnsi="Arial" w:cs="Arial"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B20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069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table" w:styleId="TableGrid">
    <w:name w:val="Table Grid"/>
    <w:basedOn w:val="TableNormal"/>
    <w:uiPriority w:val="39"/>
    <w:rsid w:val="0096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929E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502AB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F0310A"/>
    <w:pPr>
      <w:spacing w:before="200"/>
      <w:ind w:right="3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10A"/>
    <w:rPr>
      <w:rFonts w:ascii="Arial" w:hAnsi="Arial" w:cs="Arial"/>
      <w:i/>
      <w:iCs/>
      <w:color w:val="404040" w:themeColor="text1" w:themeTint="BF"/>
      <w:lang w:val="en-AU"/>
    </w:rPr>
  </w:style>
  <w:style w:type="character" w:styleId="Strong">
    <w:name w:val="Strong"/>
    <w:basedOn w:val="DefaultParagraphFont"/>
    <w:uiPriority w:val="22"/>
    <w:qFormat/>
    <w:rsid w:val="005502A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645"/>
    <w:pPr>
      <w:pBdr>
        <w:top w:val="single" w:sz="4" w:space="10" w:color="4F81BD" w:themeColor="accent1"/>
        <w:bottom w:val="single" w:sz="4" w:space="10" w:color="4F81BD" w:themeColor="accent1"/>
      </w:pBdr>
      <w:ind w:left="142" w:right="428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645"/>
    <w:rPr>
      <w:rFonts w:ascii="Arial" w:hAnsi="Arial" w:cs="Arial"/>
      <w:i/>
      <w:iCs/>
      <w:color w:val="1F497D" w:themeColor="text2"/>
      <w:lang w:val="en-AU"/>
    </w:rPr>
  </w:style>
  <w:style w:type="character" w:styleId="Hyperlink">
    <w:name w:val="Hyperlink"/>
    <w:basedOn w:val="DefaultParagraphFont"/>
    <w:uiPriority w:val="99"/>
    <w:unhideWhenUsed/>
    <w:rsid w:val="002C6E08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4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0431"/>
    <w:rPr>
      <w:rFonts w:eastAsiaTheme="minorEastAsia"/>
      <w:color w:val="5A5A5A" w:themeColor="text1" w:themeTint="A5"/>
      <w:spacing w:val="15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B30639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positio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14E09"/>
    <w:pPr>
      <w:tabs>
        <w:tab w:val="right" w:leader="dot" w:pos="9348"/>
      </w:tabs>
      <w:spacing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30639"/>
    <w:pPr>
      <w:spacing w:after="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B30639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30639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30639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30639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30639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30639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30639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7D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14E09"/>
    <w:pPr>
      <w:widowControl/>
      <w:autoSpaceDE/>
      <w:autoSpaceDN/>
    </w:pPr>
    <w:rPr>
      <w:rFonts w:ascii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ttps://www.legislation.qld.gov.au/view/html/inforce/current/act-2020-033" TargetMode="External" Type="http://schemas.openxmlformats.org/officeDocument/2006/relationships/hyperlink"/>
<Relationship Id="rId11" Target="https://www.legislation.qld.gov.au/view/html/asmade/act-2020-033" TargetMode="External" Type="http://schemas.openxmlformats.org/officeDocument/2006/relationships/hyperlink"/>
<Relationship Id="rId12" Target="https://www.legislation.qld.gov.au/view/html/inforce/current/sl-2021-0120" TargetMode="External" Type="http://schemas.openxmlformats.org/officeDocument/2006/relationships/hyperlink"/>
<Relationship Id="rId13" Target="https://www.ocmokk.qld.gov.au/resources/ocmokk/ockmokk-guidelines.pdf" TargetMode="External" Type="http://schemas.openxmlformats.org/officeDocument/2006/relationships/hyperlink"/>
<Relationship Id="rId14" Target="https://www.ocmokk.qld.gov.au/news-updates" TargetMode="External" Type="http://schemas.openxmlformats.org/officeDocument/2006/relationships/hyperlink"/>
<Relationship Id="rId15" Target="https://www.qld.gov.au/firstnations/family-social-support/torres-strait-islander-traditional-child-rearing-practice" TargetMode="External" Type="http://schemas.openxmlformats.org/officeDocument/2006/relationships/hyperlink"/>
<Relationship Id="rId16" Target="https://www.qld.gov.au/firstnations/family-social-support/torres-strait-islander-traditional-child-rearing-practice" TargetMode="External" Type="http://schemas.openxmlformats.org/officeDocument/2006/relationships/hyperlink"/>
<Relationship Id="rId17" Target="https://aifs.gov.au/research/family-matters/no-35/torres-strait-islander-family-life" TargetMode="External" Type="http://schemas.openxmlformats.org/officeDocument/2006/relationships/hyperlink"/>
<Relationship Id="rId18" Target="https://www.creativespirits.info/aboriginalculture/people/torres-strait-islander-culture" TargetMode="External" Type="http://schemas.openxmlformats.org/officeDocument/2006/relationships/hyperlink"/>
<Relationship Id="rId19" Target="https://documents.parliament.qld.gov.au/tableOffice/TabledPapers/2020/5620T1395.pdf" TargetMode="External" Type="http://schemas.openxmlformats.org/officeDocument/2006/relationships/hyperlink"/>
<Relationship Id="rId2" Target="numbering.xml" Type="http://schemas.openxmlformats.org/officeDocument/2006/relationships/numbering"/>
<Relationship Id="rId20" Target="http://www.austlii.edu.au/cgi-bin/sinodisp/au/cases/cth/FamCA/2012/129.html?stem=0&amp;synonyms=0&amp;query" TargetMode="External" Type="http://schemas.openxmlformats.org/officeDocument/2006/relationships/hyperlink"/>
<Relationship Id="rId21" Target="http://www.austlii.edu.au/cgi-bin/sinodisp/au/cases/cth/FamCA/2012/129.html?stem=0&amp;synonyms=0&amp;query" TargetMode="External" Type="http://schemas.openxmlformats.org/officeDocument/2006/relationships/hyperlink"/>
<Relationship Id="rId22" Target="mailto:office@ocmokk.qld.gov.au" TargetMode="External" Type="http://schemas.openxmlformats.org/officeDocument/2006/relationships/hyperlink"/>
<Relationship Id="rId23" Target="mailto:office@ocmokk.qld.gov.au" TargetMode="External" Type="http://schemas.openxmlformats.org/officeDocument/2006/relationships/hyperlink"/>
<Relationship Id="rId24" Target="footer1.xml" Type="http://schemas.openxmlformats.org/officeDocument/2006/relationships/footer"/>
<Relationship Id="rId25" Target="fontTable.xml" Type="http://schemas.openxmlformats.org/officeDocument/2006/relationships/fontTable"/>
<Relationship Id="rId26" Target="theme/theme1.xml" Type="http://schemas.openxmlformats.org/officeDocument/2006/relationships/theme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://www.ocmokk.qld.gov.au/" TargetMode="External" Type="http://schemas.openxmlformats.org/officeDocument/2006/relationships/hyperlink"/>
<Relationship Id="rId9" Target="https://documents.parliament.qld.gov.au/tableOffice/TabledPapers/2020/5620T1395.pdf" TargetMode="External" Type="http://schemas.openxmlformats.org/officeDocument/2006/relationships/hyperlink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4AD3-F9FB-44FA-9818-16553E29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Annual Report for the Office of the Commissioner Meriba Omasker Kaziw Kazipa 2021-2022</vt:lpstr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2023-02-03T04:52:00Z</dcterms:created>
  <dc:creator>Queensland Government</dc:creator>
  <cp:keywords>Appendix</cp:keywords>
  <cp:lastModifiedBy>Tanya R Campbell</cp:lastModifiedBy>
  <cp:lastPrinted>2023-01-30T00:19:00Z</cp:lastPrinted>
  <dcterms:modified xsi:type="dcterms:W3CDTF">2023-02-03T05:01:00Z</dcterms:modified>
  <cp:revision>3</cp:revision>
  <dc:subject>2021-2022 Annual Report</dc:subject>
  <dc:title>The Annual Report for the Office of the Commissioner Meriba Omasker Kaziw Kazipa 2021-2022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2022-12-13T00:00:00Z</vt:filetime>
  </property>
  <property fmtid="{D5CDD505-2E9C-101B-9397-08002B2CF9AE}" pid="5" name="Producer">
    <vt:lpwstr>Adobe PDF Library 17.0</vt:lpwstr>
  </property>
</Properties>
</file>